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BEZ.2023.28 vom 4. März 2024</w:t>
      </w:r>
    </w:p>
    <w:p>
      <w:r>
        <w:t>BS Appellationsgericht, 2024-03-04, DE</w:t>
      </w:r>
    </w:p>
    <w:p>
      <w:r>
        <w:rPr>
          <w:b/>
        </w:rPr>
        <w:t xml:space="preserve">Quelle: </w:t>
      </w:r>
      <w:r>
        <w:t>https://mcp.opencaselaw.ch/entscheid/bs_appellationsgericht_BEZ.2023.28</w:t>
      </w:r>
    </w:p>
    <w:p>
      <w:r>
        <w:t>FR: BS_APPELLATIONSGERICHT BEZ.2023.28 du 4 mars 2024</w:t>
      </w:r>
    </w:p>
    <w:p>
      <w:r>
        <w:t>IT: BS_APPELLATIONSGERICHT BEZ.2023.28 del 4 marzo 2024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Stunden ergibt in Anwendung des üblichen Überwälzungstarifs von CHF 250. pro Stunde (vgl. dazu AGE BEZ.2021.48 vom 19. Oktober 2021 E. 3.2 mit weiteren Hinweisen) und unter Mitberücksichtigung der notwendigen Auslagen eineParteientschädigungvon CHF 3'600.. Davon ausgehend, dass die Beschwerdegegnerin betreffend Mehrwertsteuer vorabzugsberechtigt ist, ist die Parteientschädigung ohne Mehrwertsteuer zuzusprechen (AGE BEZ.2020.43 vom 24. März 2021 E. 4, BEZ.2020.28 vom 9. Dezember 2020 E. 5.2).</w:t>
      </w:r>
    </w:p>
    <w:p>
      <w:r>
        <w:t>Die in der Lehre umstrittene Frage, ob auch den Nebenparteien eine Parteientschädigung zuzusprechen ist (vgl. dazuSutter-Somm/Seiler, Handkommentar zur Schweizerischen Zivilprozessordnung, Zürich 2021, Art. 106 N</w:t>
      </w:r>
    </w:p>
    <w:p>
      <w:r>
        <w:rPr>
          <w:b/>
        </w:rPr>
        <w:t>E. 15</w:t>
      </w:r>
    </w:p>
    <w:p>
      <w:r>
        <w:t>mit weiteren Hinweisen), kann vorliegend offenbleiben, da den Streitberufenen 13 mangels Einreichung einer Stellungnahme zur Beschwerde ohnehin keine solche zuzusprechen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