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BEZ.2022.65 vom 17. August 2022</w:t>
      </w:r>
    </w:p>
    <w:p>
      <w:r>
        <w:t>BS Appellationsgericht, 2022-08-17, DE</w:t>
      </w:r>
    </w:p>
    <w:p>
      <w:r>
        <w:rPr>
          <w:b/>
        </w:rPr>
        <w:t xml:space="preserve">Quelle: </w:t>
      </w:r>
      <w:r>
        <w:t>https://mcp.opencaselaw.ch/entscheid/bs_appellationsgericht_BEZ.2022.65</w:t>
      </w:r>
    </w:p>
    <w:p>
      <w:r>
        <w:t>FR: BS_APPELLATIONSGERICHT BEZ.2022.65 du 17 août 2022</w:t>
      </w:r>
    </w:p>
    <w:p>
      <w:r>
        <w:t>IT: BS_APPELLATIONSGERICHT BEZ.2022.65 del 17 agosto 2022</w:t>
      </w:r>
    </w:p>
    <w:p>
      <w:pPr>
        <w:pStyle w:val="Heading2"/>
      </w:pPr>
      <w:r>
        <w:t>Erwägungen</w:t>
      </w:r>
    </w:p>
    <w:p>
      <w:r>
        <w:rPr>
          <w:b/>
        </w:rPr>
        <w:t>E. 1</w:t>
      </w:r>
    </w:p>
    <w:p>
      <w:r>
        <w:t>Entscheide der unteren Aufsichtsbehörde können innert 10 Tagen nach der Eröffnung an die obere Aufsichtsbehörde weitergezogen werden (Art. 18 Abs. 1 des Bundesgesetzes über Schuldbetreibung und Konkurs [SchKG, SR 281.1]). Die Beschwerde wurde vorliegend innert Frist erhoben. Als obere Aufsichtsbehörde amtet ein Dreiergericht des Appellationsgerichts (§ 5 Abs. 3 des basel-städtischen Gesetzes betreffend Einführung des Bundesgesetzes über Schuldbetreibung und Konkurs [EG SchKG, SG 230.100]; § 92 Abs. 1 Ziffer 13 des Gesetzes betreffend die Organisation der Gerichte und der Staatsanwaltschaft [GOG, SG 154.100]). Das Verfahren richtet sich nach Art. 20a SchKG. Im Übrigen gelten die Vorschriften der Schweizerischen Zivilprozessordnung (ZPO, SR 272) sinngemäss (§ 5 Abs. 4 EG SchKG).</w:t>
      </w:r>
    </w:p>
    <w:p>
      <w:r>
        <w:rPr>
          <w:b/>
        </w:rPr>
        <w:t>E. 2</w:t>
      </w:r>
    </w:p>
    <w:p>
      <w:r>
        <w:t>2.1Aus der gesetzlichen Pflicht, die Beschwerde zu begründen (Art. 321 Abs. 1 ZPO), fliesst die Pflicht, mit der Beschwerde konkrete Anträge zu stellen, ansonsten auf die Beschwerde nicht eingetreten werden kann. Mit den konkreten Rechtsbegehren gibt die beschwerdeführende Person bekannt, in welchem Umfang der vorinstanzliche Entscheid angefochten wird, mithin dieser Entscheid zu ihren Gunsten abgeändert werden soll. Eine Beschränkung darauf, lediglich die Aufhebung des vor­instanzlichen Entscheids zu beantragen, genügt grundsätzlich nicht, sondern es muss ein Antrag in der Sache gestellt werden (AGE BEZ.2019.5 vom 29. März 2019 E. 1.3; vgl. zum Ganzen BEZ.2013.45 vom 1. November 2013 E. 2.1).</w:t>
      </w:r>
    </w:p>
    <w:p>
      <w:r>
        <w:t>2.2Im vorinstanzlichen Verfahren wurde eine Beschwerde der Beschwerdeführerin gegen die Verfügung des Betreibungsamtes vom 17. August 2022 abgewiesen. Die Beschwerdeführerin beantragt in ihrer Beschwerde an die obere Aufsichtsbehörde lediglich die Rückweisung der Sache an die untere Aufsichtsbehörde zur «Mangel behebung ohne Kostenfolgen». Damit stellt die Beschwerdeführerin entgegen den Anforderungen gemäss Art. 321 Abs. 1 ZPO keinen Antrag in der Sache. Bereits aus diesem Grund kann auf die vorliegende Beschwerde nicht eingetreten werden. Lediglich ergänzend ist darauf hinzuweisen, dass die Beschwerdeführerin in ihrer Beschwerde vom 10. September 2022 zudem auch nicht ansatzweise aufzeigt, inwiefern der angefochtene Entscheid auf einer unrichtigen Rechtsanwendung oder einer offensichtlich unrichtigen Feststellung des Sachverhalts beruhen soll (Art. 320 ZPO). Damit kommt die Beschwerdeführerin den Anforderungen der Begründungspflicht im Beschwerdeverfahren, auf welche die sie etwa im Entscheid AGE BEZ.2021.5 vom 3. März 2021 in Erwägung 2.1 bereits hingewiesen worden ist, nicht nach. Aus den genannten Gründen ist auf die Beschwerde nicht einzutreten.</w:t>
      </w:r>
    </w:p>
    <w:p>
      <w:r>
        <w:rPr>
          <w:b/>
        </w:rPr>
        <w:t>E. 3</w:t>
      </w:r>
    </w:p>
    <w:p>
      <w:r>
        <w:t>Das Beschwerdeverfahren ist grundsätzlich kostenlos. Die untere Aufsichtsbehörde hat aber zu Recht darauf hingewiesen, dass bei weiteren ähnlich gelagerten Beschwerden eine Kostenauflage wegen böswilliger oder mutwilliger Prozessführung (Art. 20a Abs. 2 Ziff. 5 SchKG) erfolgen kann (vgl. dazu auch den bereits zitierten Entscheid AGE BEZ.2021.5 vom 3. März 2021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