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BEZ.2022.64 vom 15. November 2022</w:t>
      </w:r>
    </w:p>
    <w:p>
      <w:r>
        <w:t>BS Appellationsgericht, 2022-11-15, DE</w:t>
      </w:r>
    </w:p>
    <w:p>
      <w:r>
        <w:rPr>
          <w:b/>
        </w:rPr>
        <w:t xml:space="preserve">Quelle: </w:t>
      </w:r>
      <w:r>
        <w:t>https://mcp.opencaselaw.ch/entscheid/bs_appellationsgericht_BEZ.2022.64</w:t>
      </w:r>
    </w:p>
    <w:p>
      <w:r>
        <w:t>FR: BS_APPELLATIONSGERICHT BEZ.2022.64 du 15 novembre 2022</w:t>
      </w:r>
    </w:p>
    <w:p>
      <w:r>
        <w:t>IT: BS_APPELLATIONSGERICHT BEZ.2022.64 del 15 novembre 2022</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2.1Die untere Aufsichtsbehörde hat im angefochtenen Entscheid vom 22. August 2022 ausgeführt, dass die Beschwerde vom 23. Juli 2022 gegen den Zahlungsbefehl Nr. aa____ gerichtet sei, welcher der Schuldnerin und ihrem Ehemann am 22. Juli 2022 zugestellt worden sei. Die Beschwerde inklusive aller Beilagen und Nachträge erweise sich weitestgehend als konfus und unverständlich. Soweit die Schuldnerin geltend mache, dass sie nicht über genügend Mittel verfüge, um die in Betreibung gesetzte Forderung zu erfüllen, sei dies kein Grund für eine Sistierung oder gar Aufhebung von Betreibungen. Auch der Bestand und die Rechtmässigkeit der in Betreibung gesetzten Forderungen seien weder vom Betreibungsamt noch von der Aufsichtsbehörde zu überprüfen. Wolle eine Schuldnerin die in Betreibung gesetzte Forderung bestreiten, so habe sie Rechtsvorschlag gegen den jeweiligen Zahlungsbefehl zu erheben, was sie in Bezug auf den angefochtenen Zahlungsbefehl Nr. aa____ vorliegend auch getan habe. Die Aufsichtsbehörde sei für die Anliegen der Schuldnerin nicht zuständig. Aus diesem Grund könne auf die Beschwerde nicht eingetreten werden (angefochtener Entscheid, E. 2).</w:t>
      </w:r>
    </w:p>
    <w:p>
      <w:r>
        <w:t>2.2In ihrer Beschwerde setzt sich die Schuldnerin weder im Beschwerdeantrag noch in dessen Begründung mit dem angefochtenen Entscheid auseinander. Sie zeigt auch nicht auf, dass eine im Antrag erwähnte «Einforderung Zahlungsschuld C____ ab Mai 2015 auf Art. 336c OR, Police [...] pro Krankheitsfall und Art. 41 VVG mit Urteil 28.11.2018 (UV.2017.35) auf Einspracheentscheid 16.06.2017 Sozialversicherungsgericht Basel-Stadt aus Rechtsverzögerung 23.08.2019» Inhalt der vorinstanzlich behandelten Beschwerde war. Da im Beschwerdeverfahren neue Anträge gemäss Art. 326 ZPO ausgeschlossen sind, kann bereits aus diesem Grund auf die Beschwerde nicht eingetreten werden. Die Schuldnerin zeigt zudem auch nicht ansatzweise auf, inwiefern der angefochtene Entscheid auf einer unrichtigen Rechtsanwendung oder einer offensichtlich unrichtigen Feststellung des Sachverhalts beruhen soll. Damit kommt die Schuldnerin den Anforderungen an die Begründungspflicht im Beschwerdeverfahren, auf welche sie etwa im Entscheid AGE BEZ.2021.5 vom 3. März 2021 in Erwägung 2.1 bereits hingewiesen worden ist, nicht nach. Aus den genannten Gründen ist auf die Beschwerde nicht einzutreten.</w:t>
      </w:r>
    </w:p>
    <w:p>
      <w:r>
        <w:rPr>
          <w:b/>
        </w:rPr>
        <w:t>E. 3</w:t>
      </w:r>
    </w:p>
    <w:p>
      <w:r>
        <w:t>Das Beschwerdeverfahren ist grundsätzlich kostenlos. Die untere Aufsichtsbehörde hat aber zu Recht darauf hingewiesen, dass bei weiteren ähnlich gelagerten Beschwerden eine Kostenauflage wegen böswilliger oder mutwilliger Prozessführung (Art. 20a Abs. 2 Ziff. 5 SchKG) erfolgen kann (vgl. dazu auch den bereits zitierten Entscheid AGE BEZ.2021.5 vom 3. März 2021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