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BEZ.2022.59 vom 15. Juli 2022</w:t>
      </w:r>
    </w:p>
    <w:p>
      <w:r>
        <w:t>BS Appellationsgericht, 2022-07-15, DE</w:t>
      </w:r>
    </w:p>
    <w:p>
      <w:r>
        <w:rPr>
          <w:b/>
        </w:rPr>
        <w:t xml:space="preserve">Quelle: </w:t>
      </w:r>
      <w:r>
        <w:t>https://mcp.opencaselaw.ch/entscheid/bs_appellationsgericht_BEZ.2022.59</w:t>
      </w:r>
    </w:p>
    <w:p>
      <w:r>
        <w:t>FR: BS_APPELLATIONSGERICHT BEZ.2022.59 du 15 juillet 2022</w:t>
      </w:r>
    </w:p>
    <w:p>
      <w:r>
        <w:t>IT: BS_APPELLATIONSGERICHT BEZ.2022.59 del 15 luglio 2022</w:t>
      </w:r>
    </w:p>
    <w:p>
      <w:pPr>
        <w:pStyle w:val="Heading2"/>
      </w:pPr>
      <w:r>
        <w:t>Erwägungen</w:t>
      </w:r>
    </w:p>
    <w:p>
      <w:r>
        <w:rPr>
          <w:b/>
        </w:rPr>
        <w:t>E. 1</w:t>
      </w:r>
    </w:p>
    <w:p>
      <w:r>
        <w:t>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w:t>
      </w:r>
    </w:p>
    <w:p>
      <w:r>
        <w:rPr>
          <w:b/>
        </w:rPr>
        <w:t>E. 2</w:t>
      </w:r>
    </w:p>
    <w:p>
      <w:r>
        <w:t>Mit Verfügung vom 23. September 2022 setzte der verfahrensleitende Appellationsgerichtspräsident der Beschwerdeführerin für die Leistung des Kostenvorschusses eine nicht erstreckbare Nachfrist von 10 Tagen ab Zustellung der Verfügung an mit dem Hinweis, dass bei Nichteinhaltung dieser Frist in Anwendung von Art. 101 Abs. 3 ZPO auf die Beschwerde nicht eingetreten werde. Die Verfügung vom 23. September 2022 wurde der Beschwerdeführerin am 28. September 2022 zugestellt. Unter Berücksichtigung des Umstands, dass der 8. Oktober 2022 ein Samstag war, endete die Nachfrist damit am 10. Oktober 2022. Der Kostenvorschuss ging beim Gericht bis heute nicht ein. Unter diesen Umständen ist davon auszugehen, dass er nicht innert der Nachfrist zugunsten des Gerichts der Schweizerischen Post übergeben oder einem Post- oder Bankkonto in der Schweiz belastet worden und damit nicht rechtzeitig geleistet worden ist (vgl. Art. 143 Abs. 3 ZPO). Folglich ist in Anwendung von Art. 101 Abs. 3 ZPO auf die Beschwerde nicht einzutreten (vgl.Reetz, in: Sutter-Somm et al. [Hrsg.], Kommentar zur ZPO, 3. Auflage, Zürich 2016, Vorbemerkungen zu den Art. 308-318 N 19).</w:t>
      </w:r>
    </w:p>
    <w:p>
      <w:r>
        <w:rPr>
          <w:b/>
        </w:rPr>
        <w:t>E. 3</w:t>
      </w:r>
    </w:p>
    <w:p>
      <w:r>
        <w:t>3.1Die Prozesskosten werden grundsätzlich der unterliegenden Partei auferlegt, wobei bei Nichteintreten die rechtsmittelführende Partei als unterliegend gilt (vgl. Art. 106 Abs. 1 ZPO). Die Beschwerdeführerin hat somit die Gerichtskosten des vorliegenden Beschwerdeverfahrens zu tragen.</w:t>
      </w:r>
    </w:p>
    <w:p>
      <w:r>
        <w:t>3.2Die Grundgebühr für das vorliegende Beschwerdeverfahren beträgt CHF 200. bis CHF 10000. (§ 13 Abs. 2 des Gerichtsgebührenreglements [GGR, SG 154.810]). Bei Nichteintretensentscheiden wegen fehlender Prozessvoraussetzung kann die Grundgebühr bis auf die Hälfte ermässigt werden (§ 16 Abs. 1 lit. b GGR). Ist die Inanspruchnahme des Gerichts besonders gering, so kann die Grundgebühr bis auf einen Zehntel ermässigt werden (§ 16 Abs. 2 GGR). Im vorliegenden Fall ist eine Gebühr von CHF 200. der Bedeutung des Falls, dem Zeitaufwand des Gerichts sowie der tatsächlichen und rechtlichen Komplexität des Falls angemessen (vgl. zu den Grundsätzen der Gebührenbemessung § 2 GGR). Die Gerichtskosten sind weniger hoch als der Kostenvorschuss, weil im Zeitpunkt der Festsetzung des Kostenvorschusses nicht vorhersehbar gewesen ist, dass auf die Beschwerde wegen Fehlens der Prozessvoraussetzung der Leistung des Kostenvorschusses nicht einzutreten ist, und die Gebühr aus diesem Grund zu ermässigen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