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BEZ.2020.5 vom 2. August 2021</w:t>
      </w:r>
    </w:p>
    <w:p>
      <w:r>
        <w:t>BS Appellationsgericht, 2021-08-02, DE</w:t>
      </w:r>
    </w:p>
    <w:p>
      <w:r>
        <w:rPr>
          <w:b/>
        </w:rPr>
        <w:t xml:space="preserve">Quelle: </w:t>
      </w:r>
      <w:r>
        <w:t>https://mcp.opencaselaw.ch/entscheid/bs_appellationsgericht_BEZ.2020.5</w:t>
      </w:r>
    </w:p>
    <w:p>
      <w:r>
        <w:t>FR: BS_APPELLATIONSGERICHT BEZ.2020.5 du 2 août 2021</w:t>
      </w:r>
    </w:p>
    <w:p>
      <w:r>
        <w:t>IT: BS_APPELLATIONSGERICHT BEZ.2020.5 del 2 agosto 2021</w:t>
      </w:r>
    </w:p>
    <w:p>
      <w:pPr>
        <w:pStyle w:val="Heading2"/>
      </w:pPr>
      <w:r>
        <w:t>Erwägungen</w:t>
      </w:r>
    </w:p>
    <w:p>
      <w:r>
        <w:rPr>
          <w:b/>
        </w:rPr>
        <w:t>E. 1</w:t>
      </w:r>
    </w:p>
    <w:p>
      <w:r>
        <w:t>Hebt das Bundesgericht einen kantonalen Entscheid auf und weist es die Sache an die kantonale Behörde zurück, hat diese ihrer neuen Entscheidung die rechtliche Begründung des Bundesgerichts zugrunde zu legen. Dabei hat sie sich auf das zu beschränken, was sich aus den für sie verbindlichen Erwägungen des Bundesgerichts als Gegenstand der neuen Entscheidung ergibt. Dieser ist insofern endgültig abgegrenzt (BGE 144 IV 214 E. 5.2.1 S. 220 und 123 IV 1 E. 1 S. 3; aus der Praxis des Appellationsgerichts statt vieler AGE BEZ.2019.27 vom 9. Januar 2020). Zum Entscheid ist das Dreiergericht des Appellationsgerichts zuständig (§ 92 Ziff. 6 des Gesetzes betreffend die Organisation der Gerichte und der Staatsanwaltschaft [GOG, SG 154.100]).</w:t>
      </w:r>
    </w:p>
    <w:p>
      <w:r>
        <w:rPr>
          <w:b/>
        </w:rPr>
        <w:t>E. 2</w:t>
      </w:r>
    </w:p>
    <w:p>
      <w:r>
        <w:t>2.1Das Bundesgericht hat den angefochtenen Entscheid des Appellationsgerichts aufgehoben, dem Beschwerdeführer die definitive Rechtsöffnung (auch) für den Betrag von CHF 184.50 erteilt und die Sache lediglich zur Neuregelung der Kosten des kantonalen Verfahrens an das Appellationsgericht zurückgewiesen.</w:t>
      </w:r>
    </w:p>
    <w:p>
      <w:r>
        <w:t>2.2Im erstinstanzlichen Verfahren wurden die Gerichtskosten von CHF 400. der Schuldnerin auferlegt, da der Beschwerdeführer grossmehrheitlich mit seinem Begehren durchgedrungen sei (Art. 106 Abs. 1 der Schweizerischen Zivilprozessordung [ZPO, SR 272] in Verbindung mit Art. 48 der Gebührenverordnung zum Bundesgesetz über Schuldbetreibung und Konkurs [GebV SchKG, SR 281.35]). Mangels Begründung des Antrags und mangels substantiierter Ausführungen zu den Auslagen wurde keine Parteientschädigung zugesprochen (vgl. Entscheid des Zivilgerichts vom 20. Januar 2020 E. 7). An diesem Kostenentscheid ändert sich aufgrund des bundesgerichtlichen Entscheids nichts. Daran ist somit festzuhalten.</w:t>
      </w:r>
    </w:p>
    <w:p>
      <w:r>
        <w:t>2.3Mit dem Bundesgerichtsentscheid vom 30. April 2021 wurde der bereits im kantonalen Beschwerdeverfahren beim Appellationsgericht gestellte Subeventualantrag gutgeheissen. Damit ist von einem Obsiegen des Beschwerdeführers (auch) im kantonalen Beschwerdeverfahren auszugehen. Bei diesem Ausgang des Verfahrens trägt die Schuldnerin die Prozesskosten (Art. 106 Abs. 1 ZPO). Die Gerichtskosten für das kantonale Beschwerdeverfahren werden auf CHF 100. festgelegt (vgl. Art. 61 in Verbindung mit Art. 48 GebV SchKG). Parteivertretungskosten sind keine angefallen, weshalb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