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BEZ.2020.43 vom 24. März 2021</w:t>
      </w:r>
    </w:p>
    <w:p>
      <w:r>
        <w:t>BS Appellationsgericht, 2021-03-24, DE</w:t>
      </w:r>
    </w:p>
    <w:p>
      <w:r>
        <w:rPr>
          <w:b/>
        </w:rPr>
        <w:t xml:space="preserve">Quelle: </w:t>
      </w:r>
      <w:r>
        <w:t>https://mcp.opencaselaw.ch/entscheid/bs_appellationsgericht_BEZ.2020.43</w:t>
      </w:r>
    </w:p>
    <w:p>
      <w:r>
        <w:t>FR: BS_APPELLATIONSGERICHT BEZ.2020.43 du 24 mars 2021</w:t>
      </w:r>
    </w:p>
    <w:p>
      <w:r>
        <w:t>IT: BS_APPELLATIONSGERICHT BEZ.2020.43 del 24 marzo 2021</w:t>
      </w:r>
    </w:p>
    <w:p>
      <w:pPr>
        <w:pStyle w:val="Heading2"/>
      </w:pPr>
      <w:r>
        <w:t>Erwägungen</w:t>
      </w:r>
    </w:p>
    <w:p>
      <w:r>
        <w:rPr>
          <w:b/>
        </w:rPr>
        <w:t>E. 1</w:t>
      </w:r>
    </w:p>
    <w:p>
      <w:r>
        <w:t>Januar 2021 wurde die Honorarordnung für die Anwältinnen und Anwälte des Kantons Basel-Stadt (HO, SG 291.400) durch das Honorarreglement (HoR, SG 291.400) ersetzt. Da der angefochtene Entscheid vor dem 31. Dezember 2020 versendet worden ist, gilt für das vorliegende Beschwerdeverfahren die HO (§ 26 Abs. 2 HoR).Die Parteientschädigung wird unter Zugrundelegung eines Streitwerts von CHF 500'555.60 auf CHF 5000. festgesetzt (§ 4 Abs. 1 lit. a Ziff. 6 in Verbindung mit § 10 Abs. 1 und § 12 Abs. 2 HO). Davon ausgehend, dass die Gläubigerin betreffend Mehrwertsteuer vorabzugsberechtigt ist, ist die Parteientschädigung ohne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