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BEZ.2020.34 vom 4. Juni 2020</w:t>
      </w:r>
    </w:p>
    <w:p>
      <w:r>
        <w:t>BS Appellationsgericht, 2020-06-04, DE</w:t>
      </w:r>
    </w:p>
    <w:p>
      <w:r>
        <w:rPr>
          <w:b/>
        </w:rPr>
        <w:t xml:space="preserve">Quelle: </w:t>
      </w:r>
      <w:r>
        <w:t>https://mcp.opencaselaw.ch/entscheid/bs_appellationsgericht_BEZ.2020.34</w:t>
      </w:r>
    </w:p>
    <w:p>
      <w:r>
        <w:t>FR: BS_APPELLATIONSGERICHT BEZ.2020.34 du 4 juin 2020</w:t>
      </w:r>
    </w:p>
    <w:p>
      <w:r>
        <w:t>IT: BS_APPELLATIONSGERICHT BEZ.2020.34 del 4 giugno 2020</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Auf die frist- und formgerecht erhobene Beschwerde ist einzutreten.</w:t>
      </w:r>
    </w:p>
    <w:p>
      <w:r>
        <w:t>Zuständig für die Beurteilung der Beschwerde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(BGE 139 III 491 E. 4 S. 492 ff.; BGE 136 III 294 E. 3.2 S. 295;Giroud, in: Staehelin/Bauer/Staehelin [Hrsg.], Basler Kommentar SchKG Band II, 2. Auflage, Basel 2010, Art. 174 N 20).</w:t>
      </w:r>
    </w:p>
    <w:p>
      <w:r>
        <w:t>2.2Im vorliegenden Fall macht die Schuldnerin geltend, sie habe die Schuld einschliesslich der Zinsen und Kosten beglichen. Zum Beweis reicht sie einen Einzahlungsbeleg vom 12. Juni 2020 ein. Daraus ist ersichtlich, dass sie am 12. Juni 2020 einen Betrag von CHF 4'667.20 bezahlt hat. Es ist davon auszugehen, dass damit die Forderung der Gläubigerin, die Zinsen sowie die Kosten des Betreibungs- und des Konkursamts gedeckt sind. Damit ist die Konkursforderung gemäss dem angefochtenen Entscheid vollständig hinterlegt bzw. beglichen. Somit ist die erste Voraussetzung für die Aufhebung der Konkurseröffnung erfüllt.</w:t>
      </w:r>
    </w:p>
    <w:p>
      <w:r>
        <w:rPr>
          <w:b/>
        </w:rPr>
        <w:t>E. 2.3</w:t>
      </w:r>
    </w:p>
    <w:p>
      <w:r>
        <w:t>2.3.1Die zweite Voraussetzung  die Zahlungsfähigkeit  fordert zunächst, dass der Schuldner glaubhaft macht, dass er über ausreichend Mittel verfügt, um zumindest alle fälligen Verpflichtungen zu tilgen (AGE BEZ.2019.25 vom 7. Mai 2019 E. 2.3 und BEZ.2019.10 vom 5. Februar 2019 E. 2.3.1; vgl. BGer 5A_810/2015 vom 17. Dezember 2015 E. 3.2.1 und 5A_912/2013 vom 18. Februar 2014 E. 3).Glaubhaft gemacht ist eine Tatsache dann, wenn für deren Vorhandensein gewisse Elemente sprechen, selbst wenn das Gericht noch mit der Möglichkeit rechnet, dass sie sich nicht verwirklicht haben könnte. Im Hinblick auf die Aufhebung der Konkurseröffnung bedeutet dies, dass die Zahlungsfähigkeit des Schuldners wahrscheinlicher sein muss als seine Zahlungsunfähigkeit.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vorliegen.Die Schuldnerin macht im vorliegenden Verfahren keinerlei Angaben über ihre Zahlungsfähigkeit. Damit kommt sie ihrer Verpflichtung zur Glaubhaftmachung der Zahlungsfähigkeit nicht nach.</w:t>
      </w:r>
    </w:p>
    <w:p>
      <w:r>
        <w:t>2.3.2Die Zahlungsfähigkeit gemäss Art. 174 SchKG verlangt nicht nur die soeben dargelegte Zahlungsfähigkeit im engeren Sinn  also die Fähigkeit, die fälligen Forderungen mit liquiden Mittel zu tilgen , sondern setzt auch die "Lebensfähigkeit" des schuldnerischen Betriebs voraus (AGE BEZ.2019.59 vom 4. September 2019 E. 2.3). Da im vorliegenden Fall bereits die Zahlungsfähigkeit im engeren Sinn nicht glaubhaft gemacht ist (vgl. E. 2.3.1), braucht nicht mehr geprüft zu werden, ob die Schuldnerin lebensfähig (bzw. zahlungsfähig im weiteren Sinn) ist.</w:t>
      </w:r>
    </w:p>
    <w:p>
      <w:r>
        <w:t>2.4Zusammenfassend ist festzuhalten, dass die Schuldnerin zwar die Konkursforderung einschliesslich Zinsen und Kosten getilgt bzw. hinterlegt (vgl. E. 2.2), die Zahlungsfähigkeit im engeren Sinn aber nicht glaubhaft gemacht hat (vgl. E. 2.3.1).</w:t>
      </w:r>
    </w:p>
    <w:p>
      <w:r>
        <w:rPr>
          <w:b/>
        </w:rPr>
        <w:t>E. 3</w:t>
      </w:r>
    </w:p>
    <w:p>
      <w:r>
        <w:t>Aufgrund dieser Erwägungen ist die Beschwerde abzuweisen und die Konkurseröffnung zu bestätigen. Bei diesem Ausgang des Verfahrens trägt die Schuldnerin als unterliegende Beschwerdeführerin die Gerichtskosten des Beschwerdeverfahrens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