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BEZ.2019.83 vom 4. Februar 2020</w:t>
      </w:r>
    </w:p>
    <w:p>
      <w:r>
        <w:t>BS Appellationsgericht, 2020-02-04, DE</w:t>
      </w:r>
    </w:p>
    <w:p>
      <w:r>
        <w:rPr>
          <w:b/>
        </w:rPr>
        <w:t xml:space="preserve">Quelle: </w:t>
      </w:r>
      <w:r>
        <w:t>https://mcp.opencaselaw.ch/entscheid/bs_appellationsgericht_BEZ.2019.83</w:t>
      </w:r>
    </w:p>
    <w:p>
      <w:r>
        <w:t>FR: BS_APPELLATIONSGERICHT BEZ.2019.83 du 4 février 2020</w:t>
      </w:r>
    </w:p>
    <w:p>
      <w:r>
        <w:t>IT: BS_APPELLATIONSGERICHT BEZ.2019.83 del 4 febbraio 2020</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Beschwerdefrist beträgt 10 Tage (Art. 321 Abs. 2 in Verbindung mit Art. 251 lit. a ZPO). Der schriftlich begründete Entscheid wurde dem Beschwerdeführer am 19. November 2019 zugestellt, womit die Beschwerdefrist am 29. November 2019 endete. Vorliegend hat der Beschwerdeführer mit Schreiben vom 28. November 2019 dem Zivilgericht mitgeteilt, dass er den Entscheid nicht akzeptieren könne. Dieses Schreiben wurde vom Zivilgericht an das Appellationsgericht überwiesen und wird von diesem als Beschwerde entgegengenommen. Die Eingabe vom 28. November 2019 erfolgte innert dieser Frist. Die Einreichung bei der unrichtigen Instanz schadet dem Beschwerdeführer nicht (vgl. BGE 140 III 636 E. 3.7 S. 643).</w:t>
      </w:r>
    </w:p>
    <w:p>
      <w:r>
        <w:t>1.2Aus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w:t>
      </w:r>
    </w:p>
    <w:p>
      <w:r>
        <w:t>Im vorliegenden Fall stellt der Beschwerdeführer keinen Antrag. Den Ausführungen kann aber sinngemäss entnommen werden, dass der Beschwerdeführer die Aufhebung des angefochtenen Entscheids und die Gutheissung seines Rechtsöffnungsgesuchs beantragt. Insofern kann auf die Beschwerde eingetreten werden.</w:t>
      </w:r>
    </w:p>
    <w:p>
      <w:r>
        <w:t>1.3Zuständig zum Entscheid über die Beschwerde ist das Dreiergericht des Appellationsgerichts (§ 92 Abs. 1 Ziff. 6 des Gerichtsorganisationsgesetzes [GOG, SG 154.100]). Mit der Beschwerde können die unrichtige Rechtsanwendung und die offensichtlich unrichtige Feststellung des Sachverhalts gerügt werden (Art. 320 ZPO). Neue Anträge, neue Tatsachenbehauptungen und neue Beweismittel (sog. Noven) sind im Beschwerdeverfahren ausgeschlossen (Art. 326 Abs. 1 ZPO). Das Novenverbot ist umfassend und gilt sowohl für echte als auch für unechte Noven (Frei-burghaus/Afheldt, a.a.O., Art. 326 N 4).</w:t>
      </w:r>
    </w:p>
    <w:p>
      <w:r>
        <w:rPr>
          <w:b/>
        </w:rPr>
        <w:t>E. 2</w:t>
      </w:r>
    </w:p>
    <w:p>
      <w:r>
        <w:t>Der Beschwerdeführer stützte sein Rechtsöffnungsgesuch auf einen Entscheid des Gerichtspräsidenten des Bezirksgerichts Liestal vom 27. Oktober 2011 betreffend Eheschutz ab. Darin wurde die Beschwerdegegnerin verpflichtet, dem Beschwerdeführer für die Zeit vom 1. Juli 2011 bis zum 30. April 2012 einen monatlichen Unterhaltsbeitrag vom CHF 2100. zu bezahlen. Das Zivilgericht wies das Rechtsöffnungsgesuch unter Bezugnahme auf das Scheidungsurteil der Gerichtspräsidentin des Zivilgerichts Basel-Landschaft West vom 26. April 2016 ab. Mit diesem Urteil sei die Vereinbarung zwischen den Parteien vom 26. April 2016 über die Scheidungsfolgen gerichtlich genehmigt worden. Gemäss dieser Vereinbarung hätten sich beide Parteien für güterrechtlich vollständig auseinandergesetzt erklärt. Dies umfasse auch die allenfalls vor jenem Zeitpunkt noch offenen Unterhalsbeiträge. Der Eheschutzentscheid vom 27. Oktober 2011 stelle damit keinen gültigen Rechtsöffnungstitel mehr dar (angefochtener Entscheid E. 2).</w:t>
      </w:r>
    </w:p>
    <w:p>
      <w:r>
        <w:t>Die Ausführungen des Beschwerdeführers in seiner Beschwerde vom 28. November 2019 vermögen an der Richtigkeit des angefochtenen Entscheids nichts zu ändern. Soweit der Beschwerdeführer geltend macht, er sei von seinem damaligen Anwalt dazu gezwungen worden, das «Urteil von 2016» zu unterschreiben, handelt es sich dabei um eine im Beschwerdeverfahren unzulässige neue Behauptung (vgl. oben E. 1.3).</w:t>
      </w:r>
    </w:p>
    <w:p>
      <w:r>
        <w:t>Implizit macht der Beschwerdeführer weiter geltend, dass der Entscheid des Gerichtspräsidenten des Bezirksgerichts Liestal vom 27. Oktober 2011 trotz des Scheidungsurteils vom 26. April 2016 respektive der darin genehmigten Vereinbarung der Parteien nach wie vor ein gültiger Rechtsöffnungstitel sei. Dem kann nicht gefolgt werden. Das Zivilgericht wies zu Recht darauf hin, dass sich die Parteien gemäss Vereinbarung vom 26. April 2016 für güterrechtlich vollständig auseinandergesetzt erklärt haben (angefochtener Entscheid E. 2). Gemäss Art. 205 Abs. 3 des Schweizerischen Zivilgesetzbuchs (ZGB, SR 210) regeln die Ehegatten im Rahmen der güterrechtlichen Auseinandersetzung die gegenseitigen Schulden. Nach der bundesgerichtlichen Rechtsprechung fallen Schulden aus der Unterhaltspflicht unter die gemäss Art. 205 Abs. 3 ZGB zu regelnden Schulden und sind daher bei der Auflösung des Güterstands in die güterrechtliche Auseinandersetzung miteinzubeziehen. Erklären die Parteien als Ergebnis dieses Vorgangs, dass sie «güterrechtlich auseinandergesetzt» sind, so bedeutet dies, dass keiner mehr vom anderen etwas fordern kann und dementsprechend auch Unterhaltsausstände, die während der Trennungszeit angefallen sind, nicht mehr geltend gemacht werden können (BGer 5A_625/2016 vom 22. Mai 2017 E. 5.3, 5A_803/2010 vom 3. Dezember 2010 E. 3.3). Der Beschwerdeführer konnte in keiner Weise aufzeigen, dass sich die Parteien trotz der genannten Formulierungen in der Scheidungsvereinbarung lediglich partiell güterrechtlich auseinandergesetzt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