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BEZ.2019.6 vom 7. Dezember 2018</w:t>
      </w:r>
    </w:p>
    <w:p>
      <w:r>
        <w:t>BS Appellationsgericht, 2018-12-07, DE</w:t>
      </w:r>
    </w:p>
    <w:p>
      <w:r>
        <w:rPr>
          <w:b/>
        </w:rPr>
        <w:t xml:space="preserve">Quelle: </w:t>
      </w:r>
      <w:r>
        <w:t>https://mcp.opencaselaw.ch/entscheid/bs_appellationsgericht_BEZ.2019.6</w:t>
      </w:r>
    </w:p>
    <w:p>
      <w:r>
        <w:t>FR: BS_APPELLATIONSGERICHT BEZ.2019.6 du 7 décembre 2018</w:t>
      </w:r>
    </w:p>
    <w:p>
      <w:r>
        <w:t>IT: BS_APPELLATIONSGERICHT BEZ.2019.6 del 7 dicembre 2018</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Mit Beschwerde vom 10. Januar 2019 (Postaufgabe: 12. Januar 2019) hat die Beschwerdeführerin die Beschwerdefrist eingehalten.</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w:t>
      </w:r>
    </w:p>
    <w:p>
      <w:r>
        <w:rPr>
          <w:b/>
        </w:rPr>
        <w:t>E. 2</w:t>
      </w:r>
    </w:p>
    <w:p>
      <w:r>
        <w:t>2.1Damit auf die Beschwerde eingetreten werden kann, ist weiter erforderlich, dass sie formgerecht erhoben wird. Gemäss Art. 321 Abs. 1 ZPO 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(BGer 5D_65/2014 vom 9. September 2014 E. 5.4.1;Freiburghaus/Afheldt, in: Sutter-Somm et al. [Hrsg.], Kommentar zur Schweizerischen Zivilprozessordnung,</w:t>
      </w:r>
    </w:p>
    <w:p>
      <w:r>
        <w:rPr>
          <w:b/>
        </w:rPr>
        <w:t>E. 3</w:t>
      </w:r>
    </w:p>
    <w:p>
      <w:r>
        <w:t>Aus diesen Erwägungen folgt, dass auf die Beschwerde nicht eingetreten werden kann. Folglich trägt die unterliegende Beschwerdeführerin die Prozesskosten (Art. 106 Abs. 1 ZPO).Die Gerichtskosten für das Beschwerdeverfahren werden mit CHF 110.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