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BEZ.2019.55 vom 11. Juli 2019</w:t>
      </w:r>
    </w:p>
    <w:p>
      <w:r>
        <w:t>BS Appellationsgericht, 2019-07-11, DE</w:t>
      </w:r>
    </w:p>
    <w:p>
      <w:r>
        <w:rPr>
          <w:b/>
        </w:rPr>
        <w:t xml:space="preserve">Quelle: </w:t>
      </w:r>
      <w:r>
        <w:t>https://mcp.opencaselaw.ch/entscheid/bs_appellationsgericht_BEZ.2019.55</w:t>
      </w:r>
    </w:p>
    <w:p>
      <w:r>
        <w:t>FR: BS_APPELLATIONSGERICHT BEZ.2019.55 du 11 juillet 2019</w:t>
      </w:r>
    </w:p>
    <w:p>
      <w:r>
        <w:t>IT: BS_APPELLATIONSGERICHT BEZ.2019.55 del 11 luglio 2019</w:t>
      </w:r>
    </w:p>
    <w:p>
      <w:pPr>
        <w:pStyle w:val="Heading2"/>
      </w:pPr>
      <w:r>
        <w:t>Erwägungen</w:t>
      </w:r>
    </w:p>
    <w:p>
      <w:r>
        <w:rPr>
          <w:b/>
        </w:rPr>
        <w:t>E. 1</w:t>
      </w:r>
    </w:p>
    <w:p>
      <w:r>
        <w:t>Ziff. 13 des Gerichtsorganisationsgesetzes [GOG; SG 154.100]).</w:t>
      </w:r>
    </w:p>
    <w:p>
      <w:r>
        <w:t>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f. SchKG). Mit der Beschwerde an die obere Aufsichtsbehörde können keine neuen Anträge gestellt, keine neuen Tatsachenbehauptungen vorgetragen und keine neuen Beweismittel vorgelegt werden (Art. 326 Abs. 1 ZPO).</w:t>
      </w:r>
    </w:p>
    <w:p>
      <w:r>
        <w:t>Der angefochtene Entscheid der unteren Aufsichtsbehörde wurde der Beschwerdeführerin am 23. Juli 2019 zugestellt. Ihre Beschwerde an die obere Aufsichtsbehörde erfolgte am 2. August 2019 und damit rechtzeitig.</w:t>
      </w:r>
    </w:p>
    <w:p>
      <w:r>
        <w:rPr>
          <w:b/>
        </w:rPr>
        <w:t>E. 2</w:t>
      </w:r>
    </w:p>
    <w:p>
      <w:r>
        <w:t>Auf den von der Beschwerdeführerin in ihren Eingaben vom 6. und 12. August 2019 vorgebrachten Ablehnungsantrag gegen den Zivilgerichtspräsidenten B____ kann aus folgenden Gründen nicht eingetreten werden. Ausstandsgesuche sind dem Gericht gemäss Art. 49 Abs. 1 ZPO unverzüglich nach Kenntnisnahme des Ausstandsgrunds zu stellen. Im vorliegenden Fall hat die Beschwerdeführerin bei der unteren Aufsichtsbehörde überhaupt keinen Ausstandsantrag gegen den Zivilgerichtspräsidenten B____ gestellt. Da mit der Beschwerde an die obere Aufsichtsbehörde keine neuen Anträge mehr gestellt werden können (oben E. 1.2), kann auf das Ausstandsbegehren bereits aus diesem Grund nicht eingetreten werden. Zudem wird von der Beschwerdeführerin auch nicht geltend gemacht, dass sie von den geltend gemachten Ausstandsgründen erst unmittelbar vor dem Ablehnungsantrag in den Eingaben vom 6. bzw. 12. August 2019 Kenntnis erlangt habe. Auf das Ausstandsgesuch kann daher auch wegen verspäteter Geltendmachung nicht eingetreten werden (vgl. den ebenfalls die Beschwerdeführerin betreffenden Entscheid BEZ.2016.49 vom 27. Dezember 2016 E. 2.3).</w:t>
      </w:r>
    </w:p>
    <w:p>
      <w:r>
        <w:t>Die untere Aufsichtsbehörde ist auf die Eingabe der Beschwerdeführerin vom 13. Mai 2019 mit der Begründung nicht eingetreten, dass die Beschwerdeführerin ihrer Begründungs- und Antragspflicht gemäss Art. 17 SchKG nicht nachgekommen sei. Aus ihren weitschweifigen Ausführungen werde nicht ersichtlich, was bezüglich der gegen sie laufenden Betreibungsverfahren nicht korrekt sein soll. Soweit sich die Beschwerde gegen die Pfändungen Nrn. [...], [...] oder [...] oder aber gegen die Pfändungsankündigung in der Pfändung Nr. [...] richten solle, wäre ausserdem ohnehin die zehntägige Beschwerdefrist verpasst (angefochtener Entscheid, E. 3). In Bezug auf die geltend gemachten Schadenersatzansprüche resp. weitere finanzielle Ansprüche weist die Vorinstanz auf ihre fehlende Zuständigkeit hin (E. 4). Mit diesen Begründungen setzt sich die Beschwerdeführerin in ihrer Beschwerde in keiner Weise auseinander. Sie kommt damit ihrer Begründungspflicht (Art. 321 ZPO) nicht nach, weshalb auf die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