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BEZ.2019.39 vom 5. Juli 2019</w:t>
      </w:r>
    </w:p>
    <w:p>
      <w:r>
        <w:t>BS Appellationsgericht, 2019-07-05, DE</w:t>
      </w:r>
    </w:p>
    <w:p>
      <w:r>
        <w:rPr>
          <w:b/>
        </w:rPr>
        <w:t xml:space="preserve">Quelle: </w:t>
      </w:r>
      <w:r>
        <w:t>https://mcp.opencaselaw.ch/entscheid/bs_appellationsgericht_BEZ.2019.39</w:t>
      </w:r>
    </w:p>
    <w:p>
      <w:r>
        <w:t>FR: BS_APPELLATIONSGERICHT BEZ.2019.39 du 5 juillet 2019</w:t>
      </w:r>
    </w:p>
    <w:p>
      <w:r>
        <w:t>IT: BS_APPELLATIONSGERICHT BEZ.2019.39 del 5 luglio 2019</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Mit Beschwerde vom 9. Juni 2019 (Postaufgabe: 10. Juni 2019) hat die Schuldnerin die Beschwerdefrist eingehalten.</w:t>
      </w:r>
    </w:p>
    <w:p>
      <w:r>
        <w:t>1.2Zum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w:t>
      </w:r>
    </w:p>
    <w:p>
      <w:r>
        <w:rPr>
          <w:b/>
        </w:rPr>
        <w:t>E. 2</w:t>
      </w:r>
    </w:p>
    <w:p>
      <w:r>
        <w:t>2.1Damit auf die Beschwerde eingetreten werden kann, ist weiter erforderlich, dass sie formgerecht erhoben wird. Gemäss Art. 321 Abs. 1 ZPO ist die Beschwerde bei der Rechtsmittelinstanz schriftlich und begründet einzureichen. Dies bedeutet, dass konkrete Rechtsmittelanträge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(BGer 5D_65/2014 vom 9. September 2014 E. 5.4.1;Freiburghaus/Afheldt, in: Sutter-Somm et al. [Hrsg.], Kommentar zur Schweizerischen Zivilprozessordnung,</w:t>
      </w:r>
    </w:p>
    <w:p>
      <w:r>
        <w:rPr>
          <w:b/>
        </w:rPr>
        <w:t>E. 3</w:t>
      </w:r>
    </w:p>
    <w:p>
      <w:r>
        <w:t>Aus diesen Erwägungen folgt, dass auf die Beschwerde nicht eingetreten werden kann. Mit dem Entscheid wird das Gesuch um aufschiebende Wirkung hinfällig. Folglich trägt die unterliegende Schuldnerin die Prozesskosten (Art. 106 Abs. 1 ZPO). Die Gerichtskosten für das Beschwerdeverfahren werden mit CHF 150. festgelegt (vgl. Art. 61 in Verbindung mit Art. 48 der Gebührenverordnung zum Bundesgesetz über Schuldbetreibung und Konkurs [GebV SchKG, SR 281.35]). Parteivertretungskosten sind keine angefallen und deshalb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