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BEZ.2019.21 vom 21. Mai 2019</w:t>
      </w:r>
    </w:p>
    <w:p>
      <w:r>
        <w:t>BS Appellationsgericht, 2019-05-21, DE</w:t>
      </w:r>
    </w:p>
    <w:p>
      <w:r>
        <w:rPr>
          <w:b/>
        </w:rPr>
        <w:t xml:space="preserve">Quelle: </w:t>
      </w:r>
      <w:r>
        <w:t>https://mcp.opencaselaw.ch/entscheid/bs_appellationsgericht_BEZ.2019.21</w:t>
      </w:r>
    </w:p>
    <w:p>
      <w:r>
        <w:t>FR: BS_APPELLATIONSGERICHT BEZ.2019.21 du 21 mai 2019</w:t>
      </w:r>
    </w:p>
    <w:p>
      <w:r>
        <w:t>IT: BS_APPELLATIONSGERICHT BEZ.2019.21 del 21 maggio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 Im vorliegenden Fall wurde der angefochtene Entscheid der Beschwerdeführerin am 28. Februar 2019 zugestellt. Die am 7. März 2019 (Postaufgabe) eingereichte Beschwerde erfolgte somit innert Frist.</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(Art.20a Abs. 2 Ziff. 2 und 3 SchKG). Mit der Beschwerde an die obere Aufsichtsbehörde können keine neuen Anträge gestellt, keine neuen Tatsachenbehauptungen vorgetragen und keine neuen Beweismittel vorgelegt werden (Art. 326 Abs. 1 ZPO).</w:t>
      </w:r>
    </w:p>
    <w:p>
      <w:r>
        <w:rPr>
          <w:b/>
        </w:rPr>
        <w:t>E. 1.3</w:t>
      </w:r>
    </w:p>
    <w:p>
      <w:r>
        <w:t>1.3.1Aus der gesetzlichen Pflicht, die Beschwerde zu begründen (Art. 321 Abs. 1 ZPO), fliesst die Pflicht, mit der Beschwerde konkrete Anträge zu stellen, ansonsten auf die Beschwerde nicht eingetreten werden kann. Mit den konkreten Rechtsbegehren gibt der Beschwerdeführer bekannt, in welchem Umfang der vorinstanzliche Entscheid angefochten wird, mithin dieser Entscheid zu seinen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w:t>
      </w:r>
    </w:p>
    <w:p>
      <w:r>
        <w:rPr>
          <w:b/>
        </w:rPr>
        <w:t>E. 3</w:t>
      </w:r>
    </w:p>
    <w:p>
      <w:r>
        <w:t>Auflage, Zürich/Basel/Genf 2016, Art. 321 N 14 undReetz/Theiler, ebenda, Art. 311 N 34).</w:t>
      </w:r>
    </w:p>
    <w:p>
      <w:r>
        <w:t>Im Weiteren ist der Beschwerdeführer gehalten darzutun, auf welchen Beschwerdegrund (Art. 320 ZPO) er sich beruft und an welchen Mängeln der angefochtene Entscheid leidet (Freiburghaus/Afheldt, a.a.O., Art. 321 N 15). Der Beschwerdeführer hat somit zu erklären, weshalb der vorinstanzliche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1.3.2In ihrem Beschwerdeschreiben an die untere Aufsichtsbehörde vom 1. Dezember 2018 hat sich die Beschwerdeführerin  soweit verständlich  gegen eine Sperrung ihrer Konten bei der [...] Kantonalbank sowie bei der [...] gewehrt und hierfür eine Entschädigung in der Höhe von CHF 5000. geltend gemacht (act. 1 der vorinstanzlichen Akten).</w:t>
      </w:r>
    </w:p>
    <w:p>
      <w:r>
        <w:t>Die untere Aufsichtsbehörde erwog in ihrem Entscheid vom 14. Februar 2019, dass im Rahmen diverser Betreibungsverfahren verschiedene Konten der Beschwerdeführerin gesperrt worden seien sowie eine Verfügungsbeschränkung auf ein in ihrem Eigentum befindlichen Grundstück im Grundbuch eingetragen worden sei (angefochtener Entscheid, Ziff. 2 f.). Diese von der Beschwerdeführerin kritisierten Kontosperren sowie die Verfügungsbeschränkung im Grundbuch seien indessen, nach erfolgter Zahlung der Forderungen, welche den entsprechenden Betreibungen zu Grunde lagen, aufgehoben worden. Die entsprechenden Pfändungen hätten sich somit erledigt, weshalb die Beschwerde diesbezüglich als gegenstandslos abzuschreiben sei (angefochtener Entscheid, Ziff. 3 f.). In Bezug auf die von der Beschwerdeführerin gestellte Schadenersatzforderung gegenüber dem Betreibungs- und Konkursamt erachtete sich die untere Aufsichtsbehörde als nicht zuständig, weshalb auf diese nicht einzutreten sei (angefochtener Entscheid, Ziff. 5).</w:t>
      </w:r>
    </w:p>
    <w:p>
      <w:r>
        <w:t>Die Beschwerdeführerin stellt mit vorliegender Beschwerde den Antrag, die Beschwerde vom 1. Dezember 2018 sei gutzuheissen. Sie moniert, dass sich der angefochtene Entscheid nicht mit der Beschwerdeeingabe vom 1. Dezember 2018 betreffend Rechtsverweigerung oder Rechtsverzögerung sowie dem Vorwurf des Amtsmissbrauchs und Einleitung einer falschen Betreibungsart befasse. Mit den Ausführungen im angefochtenen Entscheid betreffend fehlendes Rechtsschutzinteresse auf Grund aufgehobener Kontosperren sowie Verfügungsbeschränkung im Grundbuch setzt sich die Beschwerdeführerin in ihrer Beschwerde nicht auseinander. Ebenso wenig befasst sie sich mit der Begründung der Unzuständigkeit der unteren Aufsichtsbehörde für die Beurteilung der Schadenersatzforderung. Vielmehr beschränkt sich die Beschwerdeführerin in ihrer Beschwerde  soweit verständlich  darauf, die Rechtmässigkeit einer Steuerforderung (Grundstückgewinnsteuer) ihr gegenüber sowie das Verfahren zu deren Durchsetzung in Frage zu stellen. Die Beschwerdeführerin zeigt damit nicht im Ansatz auf, inwiefern der Entscheid der unteren Aufsichtsbehörde fehlerhaft gewesen sein soll. Damit kommt sie ihrer Begründungsobliegenheit im Beschwerdeverfahren nicht nach, weshalb auf die vorliegende Beschwerde nicht eingetreten werden kann.</w:t>
      </w:r>
    </w:p>
    <w:p>
      <w:r>
        <w:t>2.</w:t>
      </w:r>
    </w:p>
    <w:p>
      <w:r>
        <w:t>Aus den vorgenannten Gründen ist auf die Beschwerde nicht einzutreten. Das Beschwerdeverfahren ist gemäss Art. 20a Abs. 2 Ziff. 5 SchKG grundsätzlich kostenlos. Es sind somit keine Kosten zu erheben. Parteientschädigungen werden in Beschwerdeverfahren nach den Art. 17-19 SchKG nicht gesprochen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