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BEZ.2018.48 vom 7. Dezember 2018</w:t>
      </w:r>
    </w:p>
    <w:p>
      <w:r>
        <w:t>BS Appellationsgericht, 2018-12-07, DE</w:t>
      </w:r>
    </w:p>
    <w:p>
      <w:r>
        <w:rPr>
          <w:b/>
        </w:rPr>
        <w:t xml:space="preserve">Quelle: </w:t>
      </w:r>
      <w:r>
        <w:t>https://mcp.opencaselaw.ch/entscheid/bs_appellationsgericht_BEZ.2018.48</w:t>
      </w:r>
    </w:p>
    <w:p>
      <w:r>
        <w:t>FR: BS_APPELLATIONSGERICHT BEZ.2018.48 du 7 décembre 2018</w:t>
      </w:r>
    </w:p>
    <w:p>
      <w:r>
        <w:t>IT: BS_APPELLATIONSGERICHT BEZ.2018.48 del 7 dicembre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Der begründete Entscheid ist der Beschwerdeführerin am21. September 2018 zugestellt worden. Mit Beschwerde vom26. September 2018 (Postaufgabe: 27. September 2018)hat die Beschwerdeführerin die Beschwerdefrist eingehalten.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2.1Aus der gesetzlichen Pflicht, die Beschwerde zu begründen (Art. 321 Abs. 1 ZPO), fliesst die Pflicht, mit der Beschwerde konkrete Anträge zu stellen, ansonsten auf die Beschwerde nicht eingetreten werden kann. Im Weiteren ist die beschwerdeführende Person gehalten darzutun, auf welchen Beschwerdegrund (Art. 320 ZPO) sie sich beruft und an welchen Mängeln der angefochtene Entscheid leidet (Frei-burghaus/Afheldt, in: Sutter-Somm et al. [Hrsg.], Kommentar zur Schweizerischen Zivilprozessordnung, 3. Auflage, Zürich 2016, Art. 321 N 14 f.). Sie hat somit zu erklären, weshalb der vorinstanzliche Entscheid im angefochtenen Punkt unrichtig sein soll; es wird vorausgesetzt, dass sie sich mit der Begründung des angefochtenen Entscheids auseinandersetzt (so betreffend Berufung, aber mit gleicher Gültigkeit für die BeschwerdeReetz/Theiler, in: Sutter-Somm et al. [Hrsg.], Kommentar zur Schweizerischen Zivilprozessordnung, 3. Auflage, Zürich 2016,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der angefochtene Entscheid für fehlerhaft gehalten wird und inwieweit dieser geändert oder aufgehoben werden soll (AGE BEZ.2013.73 vom 24. Januar 2014 E. 2.).</w:t>
      </w:r>
    </w:p>
    <w:p>
      <w:r>
        <w:t>2.2Die Vorinstanz hat ihren Entscheid damit begründet, dass die Voraussetzungen für die Erteilung der definitiven Rechtsöffnung für die Forderung der Gläubigerin (Schweizerische Eidgenossenschaft) erfüllt seien. Diese könne eine rechtskräftige Veranlagungsverfügung vom 10. März 2016 über die direkte Bundessteuer 2014, eine rechtskräftige Steuerteilungsverfügung vom 17. Juli 2017 und eine rechtskräftige Gebührenverfügung vom 19. Februar 2018 vorweisen (angefochtener Entscheid, E. 3). Diese Verfügungen könnten im Rechtsöffnungsverfahren nicht mehr materiell geprüft werden. Daher seien die Einwendungen der Beschwerdeführerin in Bezug auf die Grundstückgewinnsteuer 2009 hier nicht relevant. Die Beschwerdeführerin könne auch eine von ihr behauptete Verrechnung mit angeblichen Guthaben von ihr nicht mit Urkunden beweisen (angefochtener Entscheid, E. 4).</w:t>
      </w:r>
    </w:p>
    <w:p>
      <w:r>
        <w:t>Mit diesen Ausführungen im angefochtenen Entscheid setzt sich die Beschwerdeführerin in ihrer Beschwerde nicht auseinander. Ihre Ausführungen beziehen sich, wie bereits in einer Vielzahl von ähnlich gelagerten Verfahren, auf eine angeblich mangelhafte Veranlagungsverfügung für die Grundstückgewinnsteuer aus dem Jahr 2010, welche aber nicht Inhalt des vorinstanzlichen Entscheids war. Die Beschwerdeführerin kann in ihrer Beschwerde in keiner Weise aufzeigen, dass die Schlussfolgerung im angefochtenen Entscheid fehlerhaft sein soll, wonach die Voraussetzungen für die Erteilung der definitiven Rechtsöffnung in Bezug auf die dort vorgelegten Rechtsöffnungstitel erfüllt sind und keine Gründe für die Abweisung des Rechtsöffnungsgesuchs gemäss Art. 81 Abs. 1 des Bundesgesetzes über Schuldbetreibung und Konkurs (SchKG, SR 281.1) vorliegen.</w:t>
      </w:r>
    </w:p>
    <w:p>
      <w:r>
        <w:rPr>
          <w:b/>
        </w:rPr>
        <w:t>E. 3</w:t>
      </w:r>
    </w:p>
    <w:p>
      <w:r>
        <w:t>Aus diesen Erwägungen folgt, dass die Beschwerde abzuweisen ist, soweit überhaupt auf sie eingetreten werden kann. Folglich trägt die unterliegende Beschwerdeführerin die Prozesskosten (Art. 106 Abs. 1 ZPO).Die Gerichtskosten für das Beschwerdeverfahren werden mit CHF 120.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