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BEZ.2018.28 vom 12. Juni 2018</w:t>
      </w:r>
    </w:p>
    <w:p>
      <w:r>
        <w:t>BS Appellationsgericht, 2018-06-12, DE</w:t>
      </w:r>
    </w:p>
    <w:p>
      <w:r>
        <w:rPr>
          <w:b/>
        </w:rPr>
        <w:t xml:space="preserve">Quelle: </w:t>
      </w:r>
      <w:r>
        <w:t>https://mcp.opencaselaw.ch/entscheid/bs_appellationsgericht_BEZ.2018.28</w:t>
      </w:r>
    </w:p>
    <w:p>
      <w:r>
        <w:t>FR: BS_APPELLATIONSGERICHT BEZ.2018.28 du 12 juin 2018</w:t>
      </w:r>
    </w:p>
    <w:p>
      <w:r>
        <w:t>IT: BS_APPELLATIONSGERICHT BEZ.2018.28 del 12 giugno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dieBeschwerdeführerin eingehalten. Auf die frist- und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2.2DieBeschwerdeführerin hat die Forderung desGläubigersinzwischen getilgt. Dazu reicht sie eine Quittung des Betreibungsamts vom 18. Juni 2018 über die Zahlung von CHF 5'765.75 ein, mit welcher unter anderem auch die Tilgung der Schuld in vorliegender Betreibung Nr. [...] bescheinigt wird (Beschwerdebeilage [BB] 2). Des Weiteren legt dieBeschwerdeführerin eine (provisorische) Abrechnung des Betreibungsamts vom 18. Juni 2018 ins Recht, aus welcher die Tilgung der Forderung desGläubigerssamt aufgelaufener Zinsen und Kosten hervorgeht (BB 2).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2.3.2Die Beschwerdeführerin behauptet, sie habe seit ihrer Gründung zu keinem Zeitpunkt Zahlungsrückstände gehabt. Diese Behauptung ist aktenwidrig. Gemäss dem Betreibungsregisterauszug vom 19. Juni 2018 (BB 1) leitete die Schweizerische Eidgenossenschaft, vertreten durch die Steuerverwaltung Basel-Stadt, für eine Forderung von CHF 215.80 eine Betreibung gegen die Beschwerdeführerin ein, und es wurde in dieser Betreibung am 14. August 2017 ein Zahlungsbefehl ausgestellt. Die Beschwerdeführerin hat nicht glaubhaft gemacht, dass sie über liquide Mittel verfügt, um diese fällige Forderung zu tilgen. Gemäss elektronischem Kontoauszug der [...] vom 19. Juni 2018 (Saldovorschau [BB 7]) beträgt der Saldo ihres Kontokorrentkontos CHF 0.32. Über das bestehende Mietzinsdepot von CHF 10'310. (vgl. Vereinbarung für Mietzinsdepot bei der [...] [BB 4]) kann dieBeschwerdeführerin frühestens nach dem Ende des Mietverhältnisses mit der Gläubigerin am 30. Juni 2018 verfügen (Vereinbarung zwischen den Parteien zu Mietvertrag 104956 und 1046165 [BB 4]). Zudem ist davon auszugehen, dass sie das Mietzinsdepot zur Sicherstellung der Forderungen aus dem neuen Mietvertrag in [...], der gemäss ihren eigenen Angaben unterschriftsreif verhandelt ist, brauchen wird.</w:t>
      </w:r>
    </w:p>
    <w:p>
      <w:r>
        <w:t>Gemäss eigenen Angaben hat die Beschwerdeführerin die folgenden monatlichen Verpflichtungen (dazu BB 35): Leasingrate Fahrzeug CHF 557.30; Benzinkosten ca. CHF 800.; Mietzins Domizil CHF 1'756.40 und Mietzins Parkplätze CHF 258.50. Somit ist davon auszugehen, dass zusätzliche Forderungen von insgesamt CHF 3'372.20 fällig sind oder in Kürze fällig werden. Diesen Forderungen steht ein Bankguthaben von gerade mal CHF 0.32 gegenüber. Die Fähigkeit, diese Forderungen mit liquiden Mitteln zu tilgen, hat die Beschwerdeführerin somit nicht glaubhaft gemacht.</w:t>
      </w:r>
    </w:p>
    <w:p>
      <w:r>
        <w:t>2.3.3DerBeschwerdeführerin mangelt es auch an der gebotenen Lebensfähigkeit (oben E. 2.3.1). In der Erfolgsrechnung 2017 (BB 6) sind ein Dienstleistungsertrag von CHF 26'400., Mietaufwand von CHF 24'178.80, Fahrzeugaufwand Tanken von CHF 2'200. und ein Gewinn von CHF 21.20 verzeichnet. Da die Beschwerdeführerin auf die eingeschränkte Revision verzichtet hat (Handelsregisterauszug), wurde die Erfolgsrechnung nicht von einer Revisionsstelle geprüft. Angaben dazu, womit der genannte Dienstleistungsertrag erzielt wurde, und Belege für den erwähnten Ertrag fehlen. Die Angaben der Beschwerdeführerin, sie sei "bislang als 'Mantelfirma' ohne weitere Aktivitäten geführt" worden, weckt Zweifel, ob sie den betreffenden Dienstleistungsertrag tatsächlich selber erwirtschaftet hat. Im Übrigen genügte ein Ertrag von jährlich CHF 26'400. nicht, um den von der Beschwerdeführerin erwähnten monatlichen Zahlungsverpflichtungen von mehr als CHF 3'000. nachzukommen. Dass sie auch in Zukunft einen jährlichen Ertrag von CHF 26'400. oder mehr erzielen wird, hat die Beschwerdeführerin nicht ansatzweise glaubhaft gemacht. Damit fehlt es auch an der Lebensfähigkeit.</w:t>
      </w:r>
    </w:p>
    <w:p>
      <w:r>
        <w:rPr>
          <w:b/>
        </w:rPr>
        <w:t>E. 3</w:t>
      </w:r>
    </w:p>
    <w:p>
      <w:r>
        <w:t>Aus den vorstehenden Erwägungen folgt, dass die Beschwerde sich als unbegründet erweist und daher abzuweisen ist. Entsprechend dem Ausgang des Verfahrens hat dieBeschwerdeführerin die Gerichtskosten des Beschwerdeverfahrens von CHF 600. zu tragen (Art. 106 Abs. 1 ZPO und Art. 61 Abs. 1 in Verbindung mit Art. 52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