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BEZ.2018.21 vom 30. Mai 2018</w:t>
      </w:r>
    </w:p>
    <w:p>
      <w:r>
        <w:t>BS Appellationsgericht, 2018-05-30, DE</w:t>
      </w:r>
    </w:p>
    <w:p>
      <w:r>
        <w:rPr>
          <w:b/>
        </w:rPr>
        <w:t xml:space="preserve">Quelle: </w:t>
      </w:r>
      <w:r>
        <w:t>https://mcp.opencaselaw.ch/entscheid/bs_appellationsgericht_BEZ.2018.21</w:t>
      </w:r>
    </w:p>
    <w:p>
      <w:r>
        <w:t>FR: BS_APPELLATIONSGERICHT BEZ.2018.21 du 30 mai 2018</w:t>
      </w:r>
    </w:p>
    <w:p>
      <w:r>
        <w:t>IT: BS_APPELLATIONSGERICHT BEZ.2018.21 del 30 maggio 2018</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Gesetzes betreffend Einführung des Bundesgesetzes über Schuldbetreibung und Konkurs [EG SchKG, SG 230.100] in Verbindung mit § 92 Abs. 1 Ziffer 13 des Gerichtsorganisationsgesetzes [GOG, SG 154.100]). 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2.1Damit auf die Beschwerde eingetreten werden kann, ist erforderlich, dass sie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 vgl. auchFreiburghaus/Afhldt, in: Sutter-Somm et al. [Hrsg.], Kommentar zur Schweizerischen Zivilprozessordnung, 3. Auflage, Zürich 2016, Art. 321 ZPO N 15). Bei Laien werden diese Voraussetzungen weniger streng ausgelegt. Als Begründung reicht es in diesem Fall aus, wenn auch nur ganz rudimentär zum Ausdruck kommt, weshalb der angefochtene Entscheid nach Auffassung der Beschwerde führenden Partei unrichtig sein soll (vgl.Sterchi, in: Berner Kommentar, 2012, Art. 321 ZPO N 18;Freiburghaus/Afheldt, a.a.O., Art. 321 ZPO N 15; AGE BEZ.2015.12 vom 21. Mai 2015 E. 1.2).</w:t>
      </w:r>
    </w:p>
    <w:p>
      <w:r>
        <w:t>2.2In der vorliegenden Beschwerde beantragt der Beschwerdeführer die Rückstellung des von der Gegenpartei [] geforderten Betrages. Zur Begründung führt er aus, dass erstens der ihm zustehende Betrag noch nicht bestimmbar sei, da Forderungen einer Miterbin von CHF 171'500. beständen, die fast die Hälfte des Erbes ausmachen würden. Zweitens sei die Gegenpartei nicht in wirtschaftlicher Not, um den Betrag umgehend beanspruchen zu müssen.</w:t>
      </w:r>
    </w:p>
    <w:p>
      <w:r>
        <w:t>Die untere Aufsichtsbehörde ist auf die Beschwerde des Beschwerdeführers nicht eingetreten und hat dies damit begründet, dass aus seiner Beschwerdebegründung nicht ersichtlich sei, worin eine Rechtsverletzung, Unangemessenheit, Rechtsverweigerung oder Rechtsverzögerung durch das Betreibungsamt bestehen soll. Was den Antrag betreffe, die Liquidation des gepfändeten Anteils zurückzustellen, sei vom Betreibungsamt noch kein Gesuch um Verfügung gemäss Art. 10 Abs. 2 der Verordnung über die Pfändung und Verwertung von Anteilen an Gemeinschaftsvermögen (VVAG, SR 281.41) gestellt worden; insofern fehle es an einem Interesse zur Beschwerdeerhebung. Mit diesen Erwägungen setzt sich der Beschwerdeführer in seiner Beschwerde an die obere Aufsichtsbehörde nicht im Ansatz auseinander. So führt er namentlich nicht aus, dass er in seiner Beschwerdebegründung an die untere Aufsichtsbehörde angegeben habe, worin er eine Rechtsverletzung, Unangemessenheit, Rechtsverweigerung oder Rechtsverzögerung sehe und weshalb die untere Aufsichtsbehörde zu Unrecht auf seine Beschwerde nicht eingetreten sei. Zudem gibt er auch nicht an, weshalb die untere Aufsichtsbehörde zu Unrecht ein Interesse an der Beschwerdeerhebung verneint haben soll. Damit sind die in Erwägung</w:t>
      </w:r>
    </w:p>
    <w:p>
      <w:r>
        <w:rPr>
          <w:b/>
        </w:rPr>
        <w:t>E. 2.1</w:t>
      </w:r>
    </w:p>
    <w:p>
      <w:r>
        <w:t>beschriebenen Minimalanforderungen an eine Beschwerdebegründung bei Laieneingaben nicht erfüllt.</w:t>
      </w:r>
    </w:p>
    <w:p>
      <w:r>
        <w:rPr>
          <w:b/>
        </w:rPr>
        <w:t>E. 3</w:t>
      </w:r>
    </w:p>
    <w:p>
      <w:r>
        <w:t>Aufgrund dieser Erwägungen kann auf die vorliegende Beschwerde nicht eingetreten werden. Das Beschwerdeverfahren ist kostenlos (Art. 20a Abs. 2 Ziffer 5 SchKG, Art. 61 Abs. 2 lit. a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