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BEZ.2018.16 vom 8. März 2018</w:t>
      </w:r>
    </w:p>
    <w:p>
      <w:r>
        <w:t>BS Appellationsgericht, 2018-03-08, DE</w:t>
      </w:r>
    </w:p>
    <w:p>
      <w:r>
        <w:rPr>
          <w:b/>
        </w:rPr>
        <w:t xml:space="preserve">Quelle: </w:t>
      </w:r>
      <w:r>
        <w:t>https://mcp.opencaselaw.ch/entscheid/bs_appellationsgericht_BEZ.2018.16</w:t>
      </w:r>
    </w:p>
    <w:p>
      <w:r>
        <w:t>FR: BS_APPELLATIONSGERICHT BEZ.2018.16 du 8 mars 2018</w:t>
      </w:r>
    </w:p>
    <w:p>
      <w:r>
        <w:t>IT: BS_APPELLATIONSGERICHT BEZ.2018.16 del 8 marzo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 Es ist deshalb unzulässig, die ursprüngliche Beschwerde vor der oberen Aufsichtsbehörde zu ergänzen und neue Rügen vorzutragen (AGE BEZ.2015.3 vom 4. Mai 2015).</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untere Aufsichtsbehörde hat ihren Nichteintretensentscheid damit begründet, dass die in der Beschwerde angebrachten Bemerkungen zur Pfändungsurkunde ohne rechtliche Relevanz seien, zumal der Pfändungsvollzug für die Fahrzeuge in der Pfändungsurkunde aufgrund der Aussagen der Ehefrau desBeschwerdeführers verfasst worden sei (angefochtener Entscheid, E. 2). DerBeschwerdeführerhatte in seiner Beschwerde an die untere Aufsichtsbehörde ausgeführt, dass er sich stets kooperativ gezeigt habe und seiner Mitwirkungspflicht nachgekommen sei. Namentlich seien bis zu diesem Zeitpunkt keine Kaufverträge einverlangt worden. Seine Ehefrau habe am 26. Oktober 2017 ausdrücklich darauf hingewiesen, dass ohne ihre Anwesenheit keine Fahrzeuge besichtigt werden könnten. Es stehe ihm auch nicht zu, über die Fahrzeuge, die in ihrem Eigentum stünden, zu verfügen.</w:t>
      </w:r>
    </w:p>
    <w:p>
      <w:r>
        <w:t>In der vorliegenden Beschwerde setzt sich derBeschwerdeführer in keiner Weise mit der Begründung der unteren Aufsichtsbehörde auseinander, dass seine Bemerkungen zur Pfändungsurkunde vom 5. Dezember 2017 ohne rechtliche Bedeutung seien. Er macht vielmehr neu geltend, dass die Pfändung des Fahrzeugs Nr. 2 ([...]) nie hätte vollzogen werden dürfen, da dieses Fahrzeug "vom Kläger (d.h. vom Betreibungsgläubiger, Anmerkung hier) nie einverlangt" worden sei. Durch das falsche Vorgehen des Pfändungsbeamten habe das Fahrzeug zu diesem Zeitpunkt nicht an die Garage zurückgegeben werden können und müsste nun mit erheblichem Mehraufwand auf privatem Weg verkauft werden. Eine derartige Rüge hat der Beschwerdeführer jedoch in seiner Beschwerde an die untere Aufsichtsbehörde in keiner Weise erhoben. Da vor der oberen Aufsichtsbehörde keine neuen Rügen erhoben werden können (oben E. 1.2), kann auf die Beschwerde nicht eingetreten werden.</w:t>
      </w:r>
    </w:p>
    <w:p>
      <w:r>
        <w:rPr>
          <w:b/>
        </w:rPr>
        <w:t>E. 3</w:t>
      </w:r>
    </w:p>
    <w:p>
      <w:r>
        <w:t>Das 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