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BEZ.2017.45 vom 21. August 2017</w:t>
      </w:r>
    </w:p>
    <w:p>
      <w:r>
        <w:t>BS Appellationsgericht, 2017-08-21, DE</w:t>
      </w:r>
    </w:p>
    <w:p>
      <w:r>
        <w:rPr>
          <w:b/>
        </w:rPr>
        <w:t xml:space="preserve">Quelle: </w:t>
      </w:r>
      <w:r>
        <w:t>https://mcp.opencaselaw.ch/entscheid/bs_appellationsgericht_BEZ.2017.45</w:t>
      </w:r>
    </w:p>
    <w:p>
      <w:r>
        <w:t>FR: BS_APPELLATIONSGERICHT BEZ.2017.45 du 21 août 2017</w:t>
      </w:r>
    </w:p>
    <w:p>
      <w:r>
        <w:t>IT: BS_APPELLATIONSGERICHT BEZ.2017.45 del 21 agosto 2017</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Der angefochtene Entscheid ist dem Beschwerdeführer am 30. August 2017 zugestellt worden. Die am 5. September 2017 bei der Post aufgegebene Beschwerde ist somit rechtzeitig erhoben worden.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w:t>
      </w:r>
    </w:p>
    <w:p>
      <w:r>
        <w:t>1.2Mit der betreibungsrechtlichen Beschwerde können Verfügungen des Betreibungs- und Konkursamts angefochten werden (Art. 17 Abs. 1 SchKG;Cometta/Möckli, in: Basler Kommentar SchKG I, 2. Auflage 2010, Art. 17 N 15 ff.). Dabei sind vollstreckungsrechtliche und materiell-rechtliche Fragen auseinander zu halten. Nur die ersteren unterliegen der Beschwerde an die Aufsichtsbehörde (Cometta/Möckli, a.a.O., Art. 17 N 9 ff.). Das Verfahren richtet sich nach Art. 20a SchKG; im Übrigen gelten die Vorschriften der schweizerischen Zivilprozessordnung (ZPO, SR 272) sinngemäss (§ 5 Abs. 4 EG SchKG).</w:t>
      </w:r>
    </w:p>
    <w:p>
      <w:r>
        <w:rPr>
          <w:b/>
        </w:rPr>
        <w:t>E. 2</w:t>
      </w:r>
    </w:p>
    <w:p>
      <w:r>
        <w:t>2.1Aus Art. 321 Abs. 1 ZPO ergibt sich, dass eine Beschwerde eine Begründung sowie Anträge, das heisst konkrete Rechtsbegehren, zu enthalten hat, aus denen hervorgeht, in welchem Umfang der vorinstanzliche Entscheid angefochten wird (Freiburghaus/Afheldt, in: Sutter-Somm/Hasenböhler/Leuenberger [Hrsg.], Komentar zur Schweizerischen Zivilprozessordnung, 3. Auflage 2016, Art. 321 N 14). In der Beschwerdebegründung ist darzulegen, auf welchen Beschwerdegrund sich der Beschwerdeführer beruft und an welchen Mängeln der angefochtene Entscheid leiden soll. Der Beschwerdeführer muss erklären, weshalb der vorinstanzliche Entscheid in den angefochtenen Punkten aus seiner Sicht unrichtig ist, und es wird vorausgesetzt, dass er sich mit der Begründung des angefochtenen Entscheids auseinandersetzt (Spühler, in: Spühler/Tenchio/In­fanger [Hrsg.], Basler Kommentar ZPO, 3. Auflage 2017, Art. 321 N 4; vgl. auch BGE 138 III 374 E. 4.3.1 S. 375 f.; BGer 5A_292/2012 vom 10. Juli 2012 E. 1.3). Auch wenn bei einer rechtsunkundigen Person an die Substantiierungs- und Behauptungspflicht praxisgemäss keine allzu strengen Anforderungen gestellt werden, so muss doch auch ein juristischer Laie zumindest sinngemäss sagen, weshalb er den angefochtenen Entscheid für fehlerhaft hält und inwieweit dieser geändert oder aufgehoben werden soll (AGE BEZ.2013.73 vom 24. Januar 2014 E. 2).</w:t>
      </w:r>
    </w:p>
    <w:p>
      <w:r>
        <w:t>2.2In seiner Beschwerde vom 5. September 2017 macht der Beschwerdeführer nicht geltend, dass die untere Aufsichtsbehörde zu Unrecht auf seine Beschwerde nicht eingetreten sei. Vielmehr führt er aus, dass er vom Inhalt der entsprechenden Postsendung noch nicht Kenntnis nehmen konnte, er aber vorsorglich Rechtsmittel ergreife und dieses eventuell wieder zurückziehen werde. Im Übrigen bringt der Beschwerdeführer in seiner Beschwerde wie bereits im Verfahren vor der unteren Aufsichtsbehörde vor, dass er keine Zinsen schulde.</w:t>
      </w:r>
    </w:p>
    <w:p>
      <w:r>
        <w:t>Mangels Auseinandersetzung mit dem angefochtenen Entscheid sind die dargestellten formellen Voraussetzungen gemäss Art. 321 Abs. 1 ZPO (vgl. oben Erwägung 2.1) nicht erfüllt. Zudem erhebt der Beschwerdeführer gegen den angefochtenen Entscheid keine Rügen, welche im vorliegenden Verfahren überprüft werden können (vgl. oben Erwägung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