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BEZ.2016.53 vom 24. Oktober 2016</w:t>
      </w:r>
    </w:p>
    <w:p>
      <w:r>
        <w:t>BS Appellationsgericht, 2016-10-24, DE</w:t>
      </w:r>
    </w:p>
    <w:p>
      <w:r>
        <w:rPr>
          <w:b/>
        </w:rPr>
        <w:t xml:space="preserve">Quelle: </w:t>
      </w:r>
      <w:r>
        <w:t>https://mcp.opencaselaw.ch/entscheid/bs_appellationsgericht_BEZ.2016.53</w:t>
      </w:r>
    </w:p>
    <w:p>
      <w:r>
        <w:t>FR: BS_APPELLATIONSGERICHT BEZ.2016.53 du 24 octobre 2016</w:t>
      </w:r>
    </w:p>
    <w:p>
      <w:r>
        <w:t>IT: BS_APPELLATIONSGERICHT BEZ.2016.53 del 24 ottobre 2016</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 Beschwerdeführerin eingehalten. Auf die Beschwerde ist einzutreten.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zehntägigen Beschwerdefrist belegt werden (Giroud, in: Staehelin/Bauer/Staehelin [Hrsg.], Basler Kommentar SchKG Band II, 2. Auflage, Basel 2010, Art. 174 N 20; BGE 136 III 294 E. 3.2 S. 295 mit Hinweisen).</w:t>
      </w:r>
    </w:p>
    <w:p>
      <w:r>
        <w:t>2.2DieBeschwerdeführerin hat die noch offene Forderung der Beschwerdegegnerin über insgesamt CHF 5'362.45 getilgt. Dazu hat sie eine Quittung des Betreibungsamts Basel-Stadt vom 2. November 2016 eingereicht (bei den Beschwerdebeilagen). Damit ist die erste von zwei Voraussetzungen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   Im Betreibungsregisterauszug vom 24. Oktober 2016 sind insgesamt 18 Betreibungen verzeichnet. Davon sind 14 Forderungen beglichen (Code 105  Bezahlt an Betreibungsamt; Code 106  Bezahlt an Gläubiger [Beschwerdebeilage 3]). Die in Konkursbetreibung gesetzte Forderung der Beschwerdegegnerin ist wie ausgeführt (oben E. 2.2) zwischenzeitlich getilgt worden. Die drei verbleibenden Betreibungen betreffen Forderungen über insgesamt CHF 8'099.40 (C____ AG: CHF 1'409.; D____ AG: CHF 690.40; Schweizerische Eidgenossenschaft: CHF 6'000.). Diesen Schulden stehen aktuell Guthaben derBe­schwerdeführerin auf zwei Konten bei der E____ AG in Höhe von CHF 1'080.91 bzw. EUR 1'123.11 (entsprechend CHF 1'210.70 bei einem Kurs von 1.078 am 2. Novem­ber 2016) gegenüber (2 Kontoauszüge der E____ AG per 31. Oktober 2016 [Beschwerdebeilage 5]). Damit hat die Beschwerdeführerin nicht glaubhaft gemacht, dass sie über ausreichend liquide Mittel verfügt, mit denen sie ihre fälligen Schulden begleichen kann. Aufgrund der vorliegenden Akten ist vielmehr davon auszugehen, dass die liquiden Mittel nicht einmal einen Drittel der fälligen Forderungen zu decken vermögen. Kommt hinzu, dass gemäss der unbereinigten Bilanz per 1. No­vember 2016 ausserdem kurzfristige Verbindlichkeiten über total CHF 56'919.15 bestehen. Es kann deshalb davon ausgegangen werden, dass die Summe der fälligen Schulden erheblich höher ist als die Summe der gemäss Betreibungsregisterauszug offenen Verbindlichkeiten über CHF 8'099.40.</w:t>
      </w:r>
    </w:p>
    <w:p>
      <w:r>
        <w:t>2.3.3Im Übrigen hat die Beschwerdeführerin auch ihre wirtschaftliche Lebensfähigkeit nicht glaubhaft gemacht. Die durch nichts belegte Behauptung der Beschwerdeführerin, ihre Geschäftstätigkeit laufe prächtig und die bisherigen Probleme "sollten" in kürzester Zeit bzw. bis Ende 2016 gelöst werden, genügt dafür offensichtlich nicht. Die Beschwerdeführerin hat an die F____ ([...]/F) adressierte Rechnungen vom 1. Februar, 4. März, 31. März, 1. Mai, 1. Juni, 4. Juli, 4. August, 3. September und 3. Oktober 2016 für Leistungen im Januar, Februar, März, April, Mai, Juni, Juli, August und September 2016 über EUR 31'000.00, EUR 34'000.00, EUR 28'000.00, EUR 32'375.00, EUR 30'750.00, EUR 35'125.00, EUR 28'875.00, EUR 29'875.00 und EUR 32'500.00 eingereicht sowie an die G____ adressierte Rechnungen vom 12. Oktober 2016 über EUR 7'066.44 (abzüglich einer Anzahlung von EUR 1'000.00), EUR 4'536.00 und EUR 1'223.86. Die Beschwerdeführerin ist gemäss eigenen Angaben zu 35,5 % an der F____ beteiligt. Soweit dieBeschwerdeführerin mit diesen kommentarlos eingereichten Rechnung implizit geltend machen will, dass sie eine rege und regelmässige Geschäftstätigkeit entfalte und damit wirtschaftlich (über)lebensfähig sei, kann ihr nicht gefolgt werden. Bei der Durchsicht der bei den konkursamtlichen Akten befindlichen Kontoauszüge der E___ AG vom 25. Oktober 2016, welche sämtliche Kontenbewegungen der letzten 12 Monate erfassen, fällt auf, dass die F____ ihren aus den vorgenannten Rechnungen sich ergebenden Zahlungsverpflichtungen nur in beschränktem Umfang nachgekommen ist. Die F____ hat mit Bezug auf die im Jahre 2016 ausgestellten Fakturen jeweils nur Beträge von EUR 5'000. für die erbrachten Leistungen der Monate Januar, Februar, März, April, Mai, August und September (Zahlungseingänge vom 8. Februar, 7. März, 6. April, 9. Mai, 2. Juni, 12. Sep­tember und 7. Oktober 2016) bzw. von EUR 9'000. für die im Juni und Juli erbrachten Leistungen (Zahlungseingang vom 22. August 2016) überwiesen. Diese Einnahmen sind, soweit ersichtlich, grösstenteils verbraucht worden. Soweit die erwähnten Rechnungen noch nicht bezahlt worden sind, bestehen erhebliche Zweifel an der Werthaltigkeit der betreffenden Forderungen. Insbesondere ist nicht nachvollziehbar, weshalb die Restforderungen in der unbereinigten Bilanz per 1. November 2016 nicht als Debitoren ausgewiesen werden. Im Übrigen sind bereits in der unbereinigten Bilanz für das Jahr 2014 die flüssigen Mittel mit minus CHF 17'520.84 verzeichnet und weist die unbereinigte Erfolgsrechnung für das Jahr 2014 einen Verlust von CHF 32'108.10 aus (Beschwerdebeilage 6). Schliesslich ergibt sich aus dem Betreibungsregisterauszug, dass die Beschwerdeführerin zwischen dem 24. April 2015 und dem 12. Juli 2016 14 Forderungen erst nach Einleitung der Betreibung bezahlt hat. Die Beschwerdeführerin befindet sich somit bereits seit längerer Zeit in finanziellen Schwierigkeiten. Zusammenfassend ist festzustellen, dass die eingereichten Rechnungen nicht geeignet sind, glaubhaft zu machen, dass die Beschwerdeführerin wirtschaftlich lebensfähig und in absehbarer Zukunft in der Lage ist, ihren jeweils fällig werdenden Zahlungsverpflichtungen nachzukommen. Gründe dafür, dass die finanziellen Schwierigkeiten kurzfristig überwunden werden könnten, sind nicht ersichtlich.</w:t>
      </w:r>
    </w:p>
    <w:p>
      <w:r>
        <w:rPr>
          <w:b/>
        </w:rPr>
        <w:t>E. 3</w:t>
      </w:r>
    </w:p>
    <w:p>
      <w:r>
        <w:t>Aufgrund dieser Erwägungen ist die Beschwerde abzuweisen. DieBeschwerdeführerin trägt die zweitinstanzlichen Gerichtskosten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