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BEZ.2015.16 vom 15. April 2015</w:t>
      </w:r>
    </w:p>
    <w:p>
      <w:r>
        <w:t>BS Appellationsgericht, 2015-04-15, DE</w:t>
      </w:r>
    </w:p>
    <w:p>
      <w:r>
        <w:rPr>
          <w:b/>
        </w:rPr>
        <w:t xml:space="preserve">Quelle: </w:t>
      </w:r>
      <w:r>
        <w:t>https://mcp.opencaselaw.ch/entscheid/bs_appellationsgericht_BEZ.2015.16</w:t>
      </w:r>
    </w:p>
    <w:p>
      <w:r>
        <w:t>FR: BS_APPELLATIONSGERICHT BEZ.2015.16 du 15 avril 2015</w:t>
      </w:r>
    </w:p>
    <w:p>
      <w:r>
        <w:t>IT: BS_APPELLATIONSGERICHT BEZ.2015.16 del 15 aprile 2015</w:t>
      </w:r>
    </w:p>
    <w:p>
      <w:pPr>
        <w:pStyle w:val="Heading2"/>
      </w:pPr>
      <w:r>
        <w:t>Erwägungen</w:t>
      </w:r>
    </w:p>
    <w:p>
      <w:r>
        <w:rPr>
          <w:b/>
        </w:rPr>
        <w:t>E. 1</w:t>
      </w:r>
    </w:p>
    <w:p>
      <w:r>
        <w:t>1.1Entscheide der unteren Aufsichtsbehörde können innert zehn Tagen nach der Eröffnung an die obere Aufsichtsbehörde weitergezogen werden (Art. 18 Abs. 1 des Bundesgesetzes über Schuldbetreibung und Konkurs [SR 281.1; SchKG]). Als solche amtet gemäss §</w:t>
      </w:r>
    </w:p>
    <w:p>
      <w:r>
        <w:rPr>
          <w:b/>
        </w:rPr>
        <w:t>E. 5</w:t>
      </w:r>
    </w:p>
    <w:p>
      <w:r>
        <w:t>Abs. 3 des baselstädtischen Gesetzes betreffend Einführung des Bundesgesetzes über Schuldbetreibung und Konkurs (SG 230.100; EG SchKG) ein Ausschuss des Appellationsgerichts. Die Beschwerdeführerin ist als Adressatin des angefochtenen Entscheids von diesem unmittelbar berührt und damit zur Beschwerdeerhebung legitimiert. Die Beschwerde wurde rechtzeitig erhoben.</w:t>
      </w:r>
    </w:p>
    <w:p>
      <w:r>
        <w:t>1.2Das Verfahren richtet sich nach Art. 20a SchKG. Im Übrigen gelten die Vorschriften der Schweizerischen Zivilprozessordnung (SR 272; ZPO) sinngemäss (§ 5 Abs. 4 EG SchKG), insbesondere die Art. 319 ff. ZPO zum Beschwerdeverfahren.</w:t>
      </w:r>
    </w:p>
    <w:p>
      <w:r>
        <w:t>2.</w:t>
      </w:r>
    </w:p>
    <w:p>
      <w:r>
        <w:t>Eine Beschwerde hat Anträge, das heisst konkrete Rechtsbegehren zu enthalten, aus denen hervorgeht, in welchem Umfang der vorinstanzliche Entscheid angefochten wird (vgl.Freiburghaus/Afheldt, in: Sutter-Somm/Hasenböhler/Leuenberger [Hrsg.], Kommentar zur Schweizerischen Zivilprozessordnung [ZPO], 2. Auflage 2013, Art. 321 ZPO N 14). Weiter ist in der Beschwerdebegründung darzulegen, auf welchen Beschwerdegrund sich die Beschwerdeführerin beruft und an welchen Mängeln der angefochtene Entscheid leiden soll. Die Beschwerdeführerin muss erklären, weshalb der erstinstanzliche Entscheid in den angefochtenen Punkten unrichtig sein soll, und es wird vorausgesetzt, dass sie sich mit der Begründung des angefochtenen Entscheids auseinandersetzt (vgl.Spühler, in: Spühler/Tenchio/Infanger [Hrsg.], Basler Kommentar ZPO, 2. Auflage 2013, Art. 321 ZPO N 4; vgl. auchBGer 5A_292/2012 vom 10. Juli 2012 E. 1.3; BGE 138 III 374 E. 4.3.1 S. 375 f.).</w:t>
      </w:r>
    </w:p>
    <w:p>
      <w:r>
        <w:t>Auch wenn bei einer rechtsunkundigen Person an diese Substantiierungs- und Begründungpflicht praxisgemäss keine allzu strengen Anforderungen gestellt werden, so muss doch auch ein juristischer Laie zumindest sinngemäss sagen, weshalb er das angefochtene Urteil für fehlerhaft hält und inwieweit dieses geändert oder aufgehoben werden soll (AGE BE.2010.11 vom 22. April 2010 E. 1.2; BEZ.2013.73 vom 24. Januar 2014 E. 2.). Auf Rechtsmittel mit formell mangelhaften Rechtsbegehren ist nur ausnahmsweise einzutreten, wenn sich aus der Begründung, allenfalls in Verbindung mit dem angefochtenen Entscheid ergibt, was die Rechtsmittelklägerin in der Sache verlangt. Rechtsbegehren sind dabei im Lichte der Begründung auszulegen (BGE 137 III 617 E. 6.2 S. 622; vgl. auchLeuenberger, in: Sutter-Somm/Hasenböhler/Leuenberger [Hrsg.], Kommentar zur Schweizerischen Zivilprozessordnung, 2. Auflage 2013, Art. 221 ZPO N 38).</w:t>
      </w:r>
    </w:p>
    <w:p>
      <w:r>
        <w:t>Im vorliegenden Fall stellt die Beschwerdeführerin mit ihrer als Einsprache be­zeichneten Eingabe vom 25. März 2015 keinen Antrag. Ein solcher kann auch nicht sinngemäss der Begründung entnommen werden. Die Begründung ist vollständig unverständlich. Sie befasst sich in keiner Weise mit den Erwägungen der Vorinstanz. Mit ihren Ausführungen scheint die Beschwerdeführerin ihre angeblichen gesund­heitlichen Schwierigkeiten darzulegen. Diese stehen indessen in keinem verständli­chen oder nachvollziehbaren Zusammenhang mit dem angefochtenen Entscheid der Vorinstanz. Fehlt es an einem hinreichenden Antrag, ist auf die Beschwerde nicht einzutreten.</w:t>
      </w:r>
    </w:p>
    <w:p>
      <w:r>
        <w:t>3.</w:t>
      </w:r>
    </w:p>
    <w:p>
      <w:r>
        <w:t>Gemäss Art. 20a Abs. 2 Ziff. 5 SchKG ist das Verfahren vor einer Aufsichtsbehörde grundsätzlich kostenlos. Allerdings können in Fällen von bös- oder mutwilliger Pro­zessführung einer Partei eine Busse bis zur Höhe von CHF 1500. sowie Kosten für Gebühren und Auslagen auferlegt werden. Vorliegend wird indes umständehalber auf die Erhebung von Kosten und das Aussprechen einer Busse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