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BEZ.2014.82 vom 15. September 2014</w:t>
      </w:r>
    </w:p>
    <w:p>
      <w:r>
        <w:t>BS Appellationsgericht, 2014-09-15, DE</w:t>
      </w:r>
    </w:p>
    <w:p>
      <w:r>
        <w:rPr>
          <w:b/>
        </w:rPr>
        <w:t xml:space="preserve">Quelle: </w:t>
      </w:r>
      <w:r>
        <w:t>https://mcp.opencaselaw.ch/entscheid/bs_appellationsgericht_BEZ.2014.82</w:t>
      </w:r>
    </w:p>
    <w:p>
      <w:r>
        <w:t>FR: BS_APPELLATIONSGERICHT BEZ.2014.82 du 15 septembre 2014</w:t>
      </w:r>
    </w:p>
    <w:p>
      <w:r>
        <w:t>IT: BS_APPELLATIONSGERICHT BEZ.2014.82 del 15 settembre 2014</w:t>
      </w:r>
    </w:p>
    <w:p>
      <w:pPr>
        <w:pStyle w:val="Heading2"/>
      </w:pPr>
      <w:r>
        <w:t>Erwägungen</w:t>
      </w:r>
    </w:p>
    <w:p>
      <w:r>
        <w:rPr>
          <w:b/>
        </w:rPr>
        <w:t>E. 1</w:t>
      </w:r>
    </w:p>
    <w:p>
      <w:r>
        <w:t>Nicht berufungsfähige Entscheide des Zivilgerichts sind mit Beschwerde anfechtbar (Art. 319 lit. a ZPO). Bei im summarischen Verfahren ergangenen Entscheiden wie jenen des Konkursgerichts (Art. 251 lit. a ZPO) beträgt die Beschwerdefrist 10 Tage (Art. 321 Abs. 2 ZPO; Art. 174 Abs. 1 SchKG). Diese Frist hat die Beschwerdeführerin eingehalten. Auf die frist- und formgerecht eingereichte Beschwerde ist einzutreten.</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beim oberen Gericht zuhanden des Gläubigers hinterlegt ist oder der Gläubiger auf die Durchführung des Konkurses verzichtet (Art. 174 Abs. 2 SchKG). Die erwähnten Voraussetzungen müssen innerhalb der Beschwerdefrist belegt sein (Giroud, in: Staehelin/Bauer/Staehelin [Hrsg.], Basler Kommentar SchKG Band II, 2. Auflage, Basel 2010, Art. 174 N 20; BGE 136 III 294 E. 3.2 S. 295 mit Hinweisen).</w:t>
      </w:r>
    </w:p>
    <w:p>
      <w:r>
        <w:t>2.2Im vorliegenden Fall hat die Beschwerdeführerin die in Konkursbetreibung gesetzte Forderung der B_____ zuzüglich Kosten beim Betreibungsamt nachgewiesenermassen hinterlegt (vgl. Quittung des Betreibungsamts vom 23. September 2014 [Beschwerdebeilage (BB) 7]). Die erste Voraussetzung für die Aufhebung des Konkurses ist damit erfüllt.</w:t>
      </w:r>
    </w:p>
    <w:p>
      <w:r>
        <w:rPr>
          <w:b/>
        </w:rPr>
        <w:t>E. 2.3</w:t>
      </w:r>
    </w:p>
    <w:p>
      <w:r>
        <w:t>2.3.1Die andere Voraussetzung  die Zahlungsfähigkeit  ist nach der Rechtsprechung des Bundesgerichts dann glaubhaft gemacht, wenn für deren Vorhandensein gewisse Elemente sprechen, selbst wenn das Gericht noch mit der Möglichkeit rechnet, dass sie nicht vorliegt. Im Hinblick auf die Aufhebung der Konkurseröffnung heisst dies, dass die Zahlungsfähigkeit des Schuldners wahrscheinlicher sein muss als seine Zahlungsunfähigkeit. In diesem Bereich dürfen keine 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Schuldners gewonnenen Gesamteindruck (vgl. zum Ganzen BGer 5A_912/2013 vom 18. Februar 2014 E. 3 mit Hinweisen). Die wichtigste Unterlage zum Glaubhaftmachen der Zahlungsfähigkeit ist der Auszug aus dem Betreibungsregister (vgl. BGer 5A_126/2010 vom 10. Juni 2010 E. 6.2).</w:t>
      </w:r>
    </w:p>
    <w:p>
      <w:r>
        <w:t>2.3.2Im vorliegenden Fall sind im Auszug aus dem Betreibungsregister vom 19. September 2014 vier Betreibungen aufgeführt (BB 9). Diese beschlagen den Zeitraum vom 26. November 2012 bis zum 2. September 2014 und entsprechen einem Forderungstotal von CHF 28920.45. Diese Forderungen hat die Beschwerdeführerin gemäss dem Auszug aus dem Betreibungsregister in der Zwischenzeit bezahlt (BB 9 [Code 105  Bezahlt an Betreibungsamt]) beziehungsweise hinterlegt (BB 7).</w:t>
      </w:r>
    </w:p>
    <w:p>
      <w:r>
        <w:t>Neben den im Betreibungsregister erfassten Forderungen gibt die Beschwerdeführerin weitere kurzfristige Forderungen von insgesamt CHF 37343.22 an, die mit der Konkurseröffnung fällig geworden sind. Es handelt sich im Wesentlichen um Forderungen der Vermieterin, von Lieferanten sowie Internet- und Telefonbetreibern (Beschwerde, Rz 14; BB 10). Von diesen Forderungen ist der Oktober-Mietzins über CHF 10200. für den Fall der Konkursaufhebung gestundet (Beschwerde, Rz 14; BB 12), so dass kurzfristige Forderungen von CHF 27143.22 fällig sind. Nicht fällig sind dagegen insbesondere drei Aktionärsdarlehen von insgesamt CHF 510100., sofern die Konkurseröffnung aufgehoben wird (Beschwerde, Rz 16; BB 13).</w:t>
      </w:r>
    </w:p>
    <w:p>
      <w:r>
        <w:t>2.3.3Den im Fall der Konkursaufhebung fälligen Forderungen über CHF 27143.22 stehen liquide Mittel von CHF 22635.85 gegenüber, nämlich ein Bankguthaben von CHF 16563.56 (Kontoauszug der UBS AG vom 25. September 2014 [BB 4]) und ein Guthaben von CHF 6072.29 auf dem Postcheckkonto (Kontoauszug der Postfinance AG vom 25. September 2014 [BB 5]). Die Beschwerdeführerin verweist sodann auf offene Debitorenforderungen in der Höhe von CHF 84072.09 (Beschwerde, Rz 1921; BB 1420). Diesen Debitorenforderungen ist gemeinsam, dass sie zwar fällig, aber noch nicht beglichen worden sind. Es handelt sich mit anderen Worten nicht um liquide  das heisst aktuelle, tatsächlich verfügbare  Mittel (vgl.Fritschi, Die Weiterziehung des Konkurserkenntnisses, in: BlSchK 67/2003 S. 57 ff., 63). Insgesamt stehen der Beschwerdeführerin damit flüssige Mittel von CHF 22635.85 zur Verfügung. Diese Mittel reichen knapp nicht aus, um die fälligen Forderungen von insgesamt CHF 27143.22 zu decken. Die Beschwerdeführerin leidet mit anderen Worten unter gewissen Zahlungsschwierigkeiten. Angesichts der fälligen Debitorenforderungen von CHF 84072.09 erscheint es jedoch als glaubhaft, dass diese nicht besonders gravierend und eher vorübergehender Natur sind.</w:t>
      </w:r>
    </w:p>
    <w:p>
      <w:r>
        <w:t>2.3.4Die Zahlungsfähigkeit gemäss Art. 174 SchKG verlangt nicht nur die soeben dargelegte Zahlungsfähigkeit im engeren Sinn  also die Fähigkeit, die fälligen Forderungen mit liquiden Mittel zu tilgen , sondern setzt auch die "Lebensfähigkeit" des schuldnerischen Betriebs voraus (vgl. oben E. 2.3.1). Der Schuldner muss demgemäss im Zusammenhang mit den in Betreibung gesetzten fälligen Forderungen und den noch nicht fälligen Forderungen nachweisen, dass er imstande ist, seine Abzahlungsverpflichtungen in absehbarer Zeit nachzukommen, und dass die wirtschaftliche Lebensfähigkeit sichergestellt erscheint. Anders als bei der Zahlungsfähigkeit im engeren Sinn, die im Sinn einer Momentaufnahme nach der Liquidität fragt, geht es bei der Lebensfähigkeit oder Sanierungsfähigkeit des Betriebs um die Entwicklung über einen absehbaren künftigen Zeitraum (Fritschi, Verfahrensfragen bei der Konkurs­eröffnung, Zürich 2010, S. 332).</w:t>
      </w:r>
    </w:p>
    <w:p>
      <w:r>
        <w:t>Im vorliegenden Fall sind die im Betreibungsregisterauszug erfassten Forderungen von insgesamt CHF 28920.45 bezahlt oder hinterlegt. Die fälligen Forderungen von CHF 27143.22 können durch die liquiden Mittel von CHF 22635.85 knapp nicht gedeckt werden. Allerdings macht die Beschwerdeführerin fällige Debitorenforderungen in erheblicher Höhe glaubhaft, deren  zumindest teilweise  Begleichung ihr es erlauben sollte, die gegen sie bestehenden fälligen Forderungen innert nützlicher Frist vollständig zu decken. Hinzu kommen weitere Forderungen gegen die Beschwerdeführerin, namentlich die Aktionärsdarlehen von insgesamt CHF 510100., die bei Aufhebung des Konkurses aber nicht fällig sind.</w:t>
      </w:r>
    </w:p>
    <w:p>
      <w:r>
        <w:t>Die Beschwerdeführerin macht für das Jahr 2013 einen Unternehmensgewinn von CHF 22066.98 glaubhaft (Entwurf Bilanz der Beschwerdeführerin inklusive Erfolgsrechnung [BB 13]). Zudem verfügt sie nach eigenen Angaben über Waren mit einem Einkaufswert von CHF 711070 in ihrem Geschäftslokal (Beschwerde, Rz 22; BB 3). Angesichts des im Jahr 2013 erzielten Unternehmensgewinns und des stattlichen Warenlagers erscheint es als glaubhaft, dass die Beschwerdeführerin  wenn auch nur knapp  in der Lage ist, ihren kurz- und langfristigen Zahlungsverpflichtungen nachzukommen. Damit ist die Zahlungsfähigkeit im weiteren Sinn  im Sinn der Lebensfähigkeit  nachgewiesen.</w:t>
      </w:r>
    </w:p>
    <w:p>
      <w:r>
        <w:rPr>
          <w:b/>
        </w:rPr>
        <w:t>E. 3</w:t>
      </w:r>
    </w:p>
    <w:p>
      <w:r>
        <w:t>Aufgrund dieser Erwägungen ist die Beschwerde gutzuheissen und die Konkurseröffnung aufzuheben. Mit ihrem säumigen Verhalten hat die Beschwerdeführerin indessen das Beschwerdeverfahren veranlasst. Sie hat deshalb die zweitinstanzlichen Gerichtskosten von CHF 600. zu tragen, ebenso ihre eigenen Vertretungskosten.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