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BEZ.2013.54 vom 31. März 2014</w:t>
      </w:r>
    </w:p>
    <w:p>
      <w:r>
        <w:t>BS Appellationsgericht, 2014-03-31, DE</w:t>
      </w:r>
    </w:p>
    <w:p>
      <w:r>
        <w:rPr>
          <w:b/>
        </w:rPr>
        <w:t xml:space="preserve">Quelle: </w:t>
      </w:r>
      <w:r>
        <w:t>https://mcp.opencaselaw.ch/entscheid/bs_appellationsgericht_BEZ.2013.54</w:t>
      </w:r>
    </w:p>
    <w:p>
      <w:r>
        <w:t>FR: BS_APPELLATIONSGERICHT BEZ.2013.54 du 31 mars 2014</w:t>
      </w:r>
    </w:p>
    <w:p>
      <w:r>
        <w:t>IT: BS_APPELLATIONSGERICHT BEZ.2013.54 del 31 marzo 2014</w:t>
      </w:r>
    </w:p>
    <w:p>
      <w:pPr>
        <w:pStyle w:val="Heading2"/>
      </w:pPr>
      <w:r>
        <w:t>Erwägungen</w:t>
      </w:r>
    </w:p>
    <w:p>
      <w:r>
        <w:rPr>
          <w:b/>
        </w:rPr>
        <w:t>E. 1</w:t>
      </w:r>
    </w:p>
    <w:p>
      <w:r>
        <w:t>Gemäss Art. 308 ZPO sind erstinstanzliche Endentscheide in vermögensrechtlichen Angelegenheiten mit Berufung anfechtbar, wenn der Streitwert der zuletzt aufrechterhaltenen Rechtsbegehren mindestens CHF 10'000. beträgt. Beim angefochtenen Entscheid des Zivilgerichts vom 1. März 2013 handelt es sich um einen Endentscheid der ersten Instanz. Der Streitwert liegt vorliegend soweit ersichtlich (vgl. auch unten) unter CHF 10'000., womit Beschwerde erhoben werden kann. Diese wurde fristgerecht eingereicht.</w:t>
      </w:r>
    </w:p>
    <w:p>
      <w:r>
        <w:t>Zum Entscheid über die Beschwerde ist gemäss § 10 Abs. 2 EG ZPO der Ausschuss des Appellationsgerichts zuständig. Mit der Beschwerde kann die unrichtige Rechtsanwendung und die offensichtlich unrichtige Feststellung des Sachverhalts gerügt werden (Art. 320 ZPO).</w:t>
      </w:r>
    </w:p>
    <w:p>
      <w:r>
        <w:rPr>
          <w:b/>
        </w:rPr>
        <w:t>E. 2</w:t>
      </w:r>
    </w:p>
    <w:p>
      <w:r>
        <w:t>Es sei für die Dauer des Mangels (undefinierbarer Maschinenlärm) eine Reduktion (Entschädigung) von 10% des Nettomietzinses seit 23.11.2010 vorzusehen.</w:t>
      </w:r>
    </w:p>
    <w:p>
      <w:r>
        <w:rPr>
          <w:b/>
        </w:rPr>
        <w:t>E. 3</w:t>
      </w:r>
    </w:p>
    <w:p>
      <w:r>
        <w:t>Es sei der Nettomietzins für den Entzug der Bereitstellung von Containern für die Abfallentsorgung, die Entfernung von Sitzbänken und die Sperrung der Rasenflächen mit Wirkung ab 16.03.2007 um 6% herabzusetzen.</w:t>
      </w:r>
    </w:p>
    <w:p>
      <w:r>
        <w:rPr>
          <w:b/>
        </w:rPr>
        <w:t>E. 4</w:t>
      </w:r>
    </w:p>
    <w:p>
      <w:r>
        <w:t>5. </w:t>
      </w:r>
    </w:p>
    <w:p>
      <w:r>
        <w:t>Mit seinen Rechtsbegehren beziffert der Beschwerdeführer die Begehren um Bezahlung einer Mietzinsreduktion nicht. Auch in der Begründung der Beschwerde, welche vom Gericht zur Auslegung unklarer oder unvollständiger Rechtsbegehren herangezogen werden kann (vgl. BGE 137 III 617 E. 62 S. 622), äussert sich der Beschwerdeführer nicht zur Höhe beziehungsweise zur Bezifferung seiner Forderung. So führt er auf S. 7 aus: Dem Kläger ist daher aus den dargelegten Gründen die mit Rechtsbegehren 2 für die Dauer des Mangels geforderte Reduktion (Entschädigung) von 10% des Nettomietzinses seit 23. November 2010 zu gewähren. Zur Höhe der Reduktion, zu den notwendigen Berechnungsparametern und zur Dauer der verlangten Mietzinsreduktion äussert er sich nicht. Der Beschwerdeführer verweist lediglich auf die Kopie Klage mit Beilagen, Klagebeilage 6, den angefochtenen Entscheid und die Verfahrensakten. Ebenso verfährt er auf S. 8 der Beschwerde betreffend Rechtsbegehren 3. Pauschale Verweise auf Beilagen genügen indes für eine Bezifferung nach ständiger Rechtsprechung im zweitinstanzlichen Verfahren auch unter der Schweizerischen ZPO und der sozialen Untersuchungsmaxime nicht, da diese die Parteien nicht von ihrer Behauptungs- und Substantiierungslast entbindet: Das Gericht ist nicht verpflichtet, die Akten von sich aus zu durchforsten, um abzuklären, was sich daraus zu Gunsten der Partei, die das Beweismittel angerufen hat, herleiten liesse (Hauck, in: Sutter-Somm/Hasenböhler/Leuenberger [Hrsg.], Kommentar zur Schweizerischen Zivilprozessordnung, 2. Auflage 2013, Art. 247 N 34;BGer 4A_32/2007 vom 16. Mai 2007 E. 4.1; BGer 5C.134/2004 vom 1. Oktober 2004 E. 2.2). So muss es auch nicht die für die Bezifferung einer Forderung notwendigen Grundlagen und Beweise herausfiltern. Vielmehr wären in der Begründung die Rechnungsgrundlagen zu substantiieren und zu beweisen und immerhin dort eine bezifferte Forderung geltend zu machen gewesen.</w:t>
      </w:r>
    </w:p>
    <w:p>
      <w:r>
        <w:t>Wenn zusätzlich zur Beschwerdeschrift des anwaltlich vertretenen Beschwerdeführers das Dispositiv des erstinstanzlichen Entscheids konsultiert wird, kann diesem zwar entnommen werden, dass der Nettomietzins (jedenfalls zum damaligen Zeitpunkt) CHF 682. betragen hat. Damit wäre es  abgesehen von der Frage, ob dieser Mietzins für die ganze reklamierte Periode gegolten hat  immerhin an sich möglich gewesen, eine Mietzinsreduktion pro Monat zu beziffern. Konsultiert man zusätzlich auch noch den Entscheidtext, ergibt sich, dass der Beschwerdeführer offenbar während des Verfahrens aus seiner Wohnung ausgezogen ist. Somit wäre es dem Beschwerdeführer erst recht möglich gewesen, die gesamte Forderung vollständig zu beziffern. Er hat dies jedoch wie ausgeführt nicht getan. Dies nachzuholen und die Forderungen darüber hinaus im Einzelnen auszurechnen ist, wie dargelegt, jedoch nicht Sache der Rechtsmittelinstanz. Liegen damit nach wie vor unbezifferte Rechtsbegehren vor, kann auf die Beschwerde nicht eingetreten werden.</w:t>
      </w:r>
    </w:p>
    <w:p>
      <w:r>
        <w:t>3.</w:t>
      </w:r>
    </w:p>
    <w:p>
      <w:r>
        <w:t>Bei diesem Ausgang des Verfahrens trägt der Beschwerdeführer dessen Kosten. Das Gesuch um unentgeltliche Rechtspflege wurde durch den Instruktionsrichter bewilligt. Entsprechend gehen die Gerichtskosten des zweitinstanzlichen Verfahrens von CHF 1'100. (vgl. § 11 Ziff. 6.1 GebV) zu Lasten des Staates. Dem unentgeltlichen Rechtsvertreter wird ein Honorar aus der Gerichtskasse ausgerichtet. Die eingereichte Honorarnote basiert auf dem Aufwand anstatt auf dem Streitwert (vgl. § 17 Abs. 2 des Advokaturgesetzes und angefochtener Entscheid E. 9.2). Die Vorinstanz ist von einem Grundhonorar von CHF 1'680. ausgegangen. Im Beschwerdeverfahren wurde der Prozess schriftlich geführt, womit von einem Zuschlag von 50% auszugehen ist (§ 4 Abs. 2 HO), wobei in der Regel ein Abzug von einem bis zwei Drittel vorzunehmen ist (§ 12 Abs. 2 HO). Die Honorare der Advokaten werden somit auf CHF 1'000. inklusive Auslagen, zuzüglich 8% Mehrwertsteuer,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