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BES.2025.22 vom 1. September 2025</w:t>
      </w:r>
    </w:p>
    <w:p>
      <w:r>
        <w:t>BS Appellationsgericht, 2025-09-01, DE</w:t>
      </w:r>
    </w:p>
    <w:p>
      <w:r>
        <w:rPr>
          <w:b/>
        </w:rPr>
        <w:t xml:space="preserve">Quelle: </w:t>
      </w:r>
      <w:r>
        <w:t>https://mcp.opencaselaw.ch/entscheid/bs_appellationsgericht_BES.2025.22</w:t>
      </w:r>
    </w:p>
    <w:p>
      <w:r>
        <w:t>FR: BS_APPELLATIONSGERICHT BES.2025.22 du 1 septembre 2025</w:t>
      </w:r>
    </w:p>
    <w:p>
      <w:r>
        <w:t>IT: BS_APPELLATIONSGERICHT BES.2025.22 del 1 settembre 2025</w:t>
      </w:r>
    </w:p>
    <w:p>
      <w:pPr>
        <w:pStyle w:val="Heading2"/>
      </w:pPr>
      <w:r>
        <w:t>Erwägungen</w:t>
      </w:r>
    </w:p>
    <w:p>
      <w:r>
        <w:rPr>
          <w:b/>
        </w:rPr>
        <w:t>E. 1</w:t>
      </w:r>
    </w:p>
    <w:p>
      <w:r>
        <w:t>lit. b StPO in Verbindung mit Art. 115 und 118 StPO; BGE 141 IV 380 E. 2.3.1; BGer 1B_426/2015 vom 17. Mai 2016 E. 1.4; AGE BES.2020.86 vom 12. April 2022 E. 1.2.1, BES.2019.128 vom 5. Juni 2020 E. 1.3.1). Nach der konstanten Rechtsprechung des Bundesgerichts und der herrschenden Lehre gilt nur jene Person als im Sinne von Art.115StPO unmittelbar geschädigt, die Trägerin des Rechtsgutes ist, das durch die fragliche Strafbestimmung vor Verletzung oder Gefährdung geschützt werden soll. Dritte, deren Rechte durch die konkrete Straftat nur mittelbar bzw. reflexartig verletzt werden, sind nicht geschädigte Personen nach Art. 115 StPO. Sie können sich folglich auch nicht als Privatklägerschaft konstituieren (Art. 118 Abs. 1 StPO) und sind somit nicht zur Beschwerdeerhebung legitimiert (BGer 1B_576/2018 vom 26. Juli 2019 E. 2.3, mit Hinweisen; AGE BES.2020.209 vom 23. Dezember 2020 E. 1.3.3, BES.2018.109 vom 28. August 2018 E. 1.2.2).</w:t>
      </w:r>
    </w:p>
    <w:p>
      <w:r>
        <w:t>Der Straftatbestand des Ungehorsams gegen amtliche Verfügungen (Art. 292 StGB) schützt das öffentliche Interesse an der Aufrechterhaltung der staatlichen Autorität. Dieser Schutz ist jedoch nicht Selbstzweck, sondern dient der Durchsetzung jener Interessen, um derentwillen die Verfügung erlassen worden ist (BGer 1B_253/2019 vom 11. November 2019 E. 5.1). Sind diese Interessen privater Natur, ist die Geschädigteneigenschaft der benachteiligten Person anzuerkennen. In der neueren Rechtsprechung hat das Bundesgericht freilich präzisiert, dass der Private nur dann als geschädigte Person anzuerkennen ist, wenn er ein eminentes Interesse daran hat, dass die strafbewehrte Anordnung von der Gegenpartei beachtet wird. Dies trifft in der Regel z. B. bei einer superprovisorischen Verfügung im Rahmen einer zivilrechtlichen Streitigkeit zu (BGer 1B_253/2019 vom 11. November 2019 E. 5.3; vgl. zum GanzenMazzuchelli/Postizzi, in: Basler Kommentar, 3. Aufl. 2023, Art. 115 StPO N 79).</w:t>
      </w:r>
    </w:p>
    <w:p>
      <w:r>
        <w:t>1.3Die vorliegend in Frage stehende Strafandrohung im Entscheid vom 23. Dezember 2024 diente zur Durchsetzung der zugunsten des Beschwerdeführers verfügten vorsorglichen Massnahme hinsichtlich des persönlichen Verkehrs zu seinen Kindern. Er hatte mithin im Sinne der oben erwähnten Rechtsprechung ein eminentes Interesse daran, dass die strafbewehrte Anordnung von der Beschuldigten beachtet wird. Folglich ist seine Geschädigteneigenschaft anzuerkennen und ist er als Anzeigesteller zur Beschwerde legitimiert. Da die angefochtene Verfügung vom 12. Februar 2025 datiert und die Beschwerde am 21. Februar 2025 der Post übergeben wurde, ist sie innerhalb der zehntägigen Beschwerdefrist eingereicht worden. Sie ist damit fristgerecht erfolgt und erfüllt die gesetzlichen Anforderungen an die Begründung, weshalb darauf einzutreten ist.</w:t>
      </w:r>
    </w:p>
    <w:p>
      <w:r>
        <w:rPr>
          <w:b/>
        </w:rPr>
        <w:t>E. 2.1</w:t>
      </w:r>
    </w:p>
    <w:p>
      <w:r>
        <w:t>2.1.1Zur Begründung der Nichtanhandnahmeverfügung führt die Staatsanwaltschaft zusammengefasst aus, der Entscheid des Zivilgerichts vom 23.Dezember2024 sei zum Zeitpunkt der angezeigten Vorfälle noch nicht rechtskräftig und daher nicht vollstreckbar gewesen. Mangels Erfüllung eines Straftatbestandes sei das Verfahren folglich nicht an die Hand genommen worden (Akten S. 001).</w:t>
      </w:r>
    </w:p>
    <w:p>
      <w:r>
        <w:t>2.1.2Der Beschwerdeführer macht geltend, die Beschuldigte habe seit der Trennung im Jahr 2021 mehrfach gerichtliche Regelungen zum persönlichen Verkehr mit den gemeinsamen Kindern C____ und D____ nicht befolgt. Er verweist hierzu auf verschiedene Entscheide des Zivilgerichts und des Appellationsgerichts: Mit Entscheid vom 31. Mai 2022 habe das Zivilgericht superprovisorisch den persönlichen Verkehr geregelt, welcher am 26. August 2022 bestätigt worden sei. Mit Entscheid vom 21. April 2023 sei die Besuchsregelung weiter konkretisiert und schrittweise ausgebaut worden. Auf seine Berufung hin habe das Appellationsgericht am 28. November 2023 eine alternierende Obhut angeordnet und eine detaillierte Betreuungs- und Ferienregelung festgelegt. Da diese Entscheide nach Auffassung des Beschwerdeführers nicht umgesetzt worden seien, habe das Zivilgericht im Scheidungsverfahren mit Entscheid vom 23. Dezember 2024 die Vollstreckung der zweitinstanzlichen Obhuts- und Betreuungsregelung angeordnet, die Beschuldigte unter Strafandrohung gemäss Art. 292 StGB zur Befolgung verpflichtet und dem Beschwerdeführer zusätzlich die zweite Woche der Weihnachtsferien zugesprochen.</w:t>
      </w:r>
    </w:p>
    <w:p>
      <w:r>
        <w:t>Der Beschwerdeführer bringt vor, die Staatsanwaltschaft habe mit Nichtanhandnahmeverfügung vom 12. Februar 2025 die Tatbestandsmässigkeit eines Ungehorsams gegen amtliche Verfügungen zu Unrecht verneint. Es würden nicht berufungsfähige Entscheide mit ihrem Erlass formell rechtskräftig und seien damit sofort vollstreckbar, wenngleich die materielle Rechtskraft erst nach unbenutztem Ablauf der Beschwerdefrist eintrete. Unabhängig davon, ob dieser Rechtskraftsterminologie in allen Teilen gefolgt werde, sei jedenfalls klar, dass sowohl die Strafandrohung als auch die Zuteilung der zweiten Weihnachtsferienwoche als richterliche Vollstreckungsmassnahmen zu einem rechtskräftigen zivilrechtlichen Gerichtsentscheid  im vorliegenden Fall des Appellationsgerichts Basel-Stadt als zweitinstanzliches Eheschutzgericht  sofortige Anwendung und Umsetzung beanspruchen würden.</w:t>
      </w:r>
    </w:p>
    <w:p>
      <w:r>
        <w:t>Die Staatsanwaltschaft Basel-Stadt habe daher in grundsätzlicher Verkennung der zivilprozessualen Ordnung die Tatbestandsmässigkeit des Verhaltens der Beschuldigten zu Unrecht verneint. Die Nichtanhandnahmeverfügung vom 12. Februar 2025 sei deshalb aufzuheben und die Staatsanwaltschaft anzuweisen, ein Strafverfahren gegen die Beschuldigte zu eröffnen und die Ermittlungen an die Hand zu nehmen (Akten S. 01).</w:t>
      </w:r>
    </w:p>
    <w:p>
      <w:r>
        <w:rPr>
          <w:b/>
        </w:rPr>
        <w:t>E. 2.2</w:t>
      </w:r>
    </w:p>
    <w:p>
      <w:r>
        <w:t>2.2.1Gemäss Art. 309 Abs. 1 lit. a StPO eröffnet die Staatsanwaltschaft eine Strafuntersuchung, wenn sich aus den Informationen und Berichten der Polizei, aus der Strafanzeige oder aus ihren eigenen Feststellungen ein hinreichender Tatverdacht ergibt. Sie erhebt nach Art. 324 Abs. 1 StPO beim zuständigen Gericht Anklage, wenn sie aufgrund der Untersuchung die Verdachtsgründe als hinreichend erachtet und keinen Strafbefehl erlassen kann. Dagegen verfügt die Staatsanwaltschaft die Nichtanhandnahme, sobald aufgrund der Strafanzeige oder des Polizeirapports feststeht, dass die fraglichen Straftatbestände oder die Prozessvoraussetzungen eindeutig nicht erfüllt sind (Art. 310 Abs. 1 lit. a StPO). Ein Strafverfahren kann mithin in sachverhaltsmässig und rechtlich klaren Fällen durch Nichtanhandnahme erledigt werden (BGer 7B_513/2023 vom 4. Dezember 2023 E. 3.).</w:t>
      </w:r>
    </w:p>
    <w:p>
      <w:r>
        <w:t>Nach der Rechtsprechung richtet sich der Entscheid über die Anhandnahme oder Einstellung eines Strafverfahrens nach dem Grundsatz «in dubio pro duriore». Dieser fliesst aus dem Legalitätsprinzip (Art. 5 Abs. 1 der Bundesverfassung [BV, SR 101] und Art. 2 Abs. 1 StPO i.V.m. Art. 319 Abs. 1 und Art. 324 Abs. 1 StPO; BGE 138 IV 86 E. 4.2). Er bedeutet, dass eine Einstellung  oder Nichtanhandnahme  durch die Staatsanwaltschaft grundsätzlich nur bei klarer Straflosigkeit bzw. offensichtlich fehlenden Prozessvoraussetzungen angeordnet werden darf. Bei der Beurteilung dieser Frage verfügt die Staatsanwaltschaft über einen gewissen Ermessensspielraum (BGE 146 IV 68 E. 2.1; zum Ganzen BGer 6B_291/2022 vom 4. Mai 2022 E. 3.1).</w:t>
      </w:r>
    </w:p>
    <w:p>
      <w:r>
        <w:t>Eine Nichtanhandnahmeverfügung hat zu ergehen, wenn bereits aus den Ermittlungsergebnissen oder aus der Strafanzeige selbst ersichtlich wird, dass der zur Beurteilung vorliegende Sachverhalt mit Sicherheit unter keinen Straftatbestand fällt oder gar nicht verfolgbar ist, sodass die Führung eines Verfahrens geradezu aussichtslos erscheint. Sie kommt somit bei Fällen in Frage, die allein aufgrund der Akten sowohl betreffend Sachverhalt als auch in rechtlicher Hinsicht klar sind. Die Vorschrift von Art. 310 StPO hat zwingenden Charakter; liegen deren Voraussetzungen vor, darf die Staatsanwaltschaft kein Strafverfahren eröffnen, sondern hat zwingend eine Nichtanhandnahmeverfügung zu erlassen. Im Zweifelsfall, wenn die Nichtanhandnahmegründe nicht mit absoluter Sicherheit gegeben sind, muss das Verfahren jedoch eröffnet werden (vgl. BGE 143 IV 241 E. 2.2.1;Vogelsang, in: Niggli/Heer/Wiprächtiger [Hrsg.], Basler Kommentar StPO, 3. Aufl. 2023, Art. 310 N 6 ff.;Bosshard/Landshut, in: Donatsch et al. [Hrsg.], Kommentar zur Schweizerischen Strafprozessordnung,</w:t>
      </w:r>
    </w:p>
    <w:p>
      <w:r>
        <w:rPr>
          <w:b/>
        </w:rPr>
        <w:t>E. 3</w:t>
      </w:r>
    </w:p>
    <w:p>
      <w:r>
        <w:t>3.1In ihrer Eingabe vom 20.März2025 beantragte die Staatsanwaltschaft, die Verfahrenskosten der beschuldigten Person aufzuerlegen. In ihrer Eingabe vom 20.Mai2025 erklärte sie jedoch, dass es sich dabei um einen Verschrieb handle und zog den Antrag zurück. Mithin ist nicht weiter darauf einzugehen.</w:t>
      </w:r>
    </w:p>
    <w:p>
      <w:r>
        <w:t>3.2Bei diesem Ausgang des Verfahrens werden keine Kosten erhoben (Art. 428 Abs. 1 StPO) und hat der anwaltlich vertretene Beschwerdeführer Anspruch auf eine Parteientschädigung, wobei für die Bemessung des Aufwands grundsätzlich auf die eingereichte Honorarnote abgestellt werden kann. Die unentgeltliche Rechtspflege kann bewilligt werden. Die Auslagen sind allerdings zu hoch, es ist lediglich die Pauschale von 3 % auszurichten.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