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BES.2024.92 vom 15. Mai 2025</w:t>
      </w:r>
    </w:p>
    <w:p>
      <w:r>
        <w:t>BS Appellationsgericht, 2025-05-15, DE</w:t>
      </w:r>
    </w:p>
    <w:p>
      <w:r>
        <w:rPr>
          <w:b/>
        </w:rPr>
        <w:t xml:space="preserve">Quelle: </w:t>
      </w:r>
      <w:r>
        <w:t>https://mcp.opencaselaw.ch/entscheid/bs_appellationsgericht_BES.2024.92</w:t>
      </w:r>
    </w:p>
    <w:p>
      <w:r>
        <w:t>FR: BS_APPELLATIONSGERICHT BES.2024.92 du 15 mai 2025</w:t>
      </w:r>
    </w:p>
    <w:p>
      <w:r>
        <w:t>IT: BS_APPELLATIONSGERICHT BES.2024.92 del 15 maggio 2025</w:t>
      </w:r>
    </w:p>
    <w:p>
      <w:pPr>
        <w:pStyle w:val="Heading2"/>
      </w:pPr>
      <w:r>
        <w:t>Erwägungen</w:t>
      </w:r>
    </w:p>
    <w:p>
      <w:r>
        <w:rPr>
          <w:b/>
        </w:rPr>
        <w:t>E. 1</w:t>
      </w:r>
    </w:p>
    <w:p>
      <w:r>
        <w:t>1.1Gegen Einstellungsverfügungen der Staatsanwaltschaft kann innert zehn Tagen Beschwerde erhoben werden (Art. 322 Abs. 2 in Verbindung mit Art. 393 Abs. 1 lit. a der Strafprozessordnung [StPO, SR 312.0]). Für deren Beurteilung ist das Appellationsgericht als Einzelgericht  und entgegen der Auffassung des Beschwerdeführers nicht das Dreiergericht (vgl. Akten BES.2024.92 S. 8; Akten BES.2024.93 S. 7)  zuständig (§ 88 Abs. 1 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BGE 141 IV 380 E. 2.3.1; BGer 1B_426/2015 vom 17. Mai 2016 E. 1.4; AGE BES.2022.165 vom 16. Januar 2024, BES.2020.86 vom 12. April 2022 E. 1.2.1, BES.2019.128 vom</w:t>
      </w:r>
    </w:p>
    <w:p>
      <w:r>
        <w:rPr>
          <w:b/>
        </w:rPr>
        <w:t>E. 5</w:t>
      </w:r>
    </w:p>
    <w:p>
      <w:r>
        <w:t>5.1Bei diesem Ausgang des Verfahrens trägt der Beschwerdeführer die Kosten des Verfahrens mit einer Gebühr von CHF 1'200. (Art. 428 Abs. 1 StPO in Verbindung mit § 21 Abs. 2 des Reglements über die Gerichtsgebühren [GGR, SG 154.810]).</w:t>
      </w:r>
    </w:p>
    <w:p>
      <w:r>
        <w:t>5.2Gemäss Art. 429 Abs. 1 lit. a StPO hat die beschuldigte Person Anspruch auf Entschädigung ihrer Aufwendungen für die angemessene Ausübung ihrer Verfahrensrechte, wenn sie ganz oder teilweise freigesprochen oder das Verfahren gegen sie eingestellt wird, was in Verbindung mitArt. 436 Abs. 1 StPOauch auf die beschuldigte Beschwerdegegnerschaft im Beschwerdeverfahren zutrifft (AGE BES.2021.113 vom 5. April 2023 E. 4.2, BES.2015.77 vom 14. März 2016 E. 4.2). Die obsiegenden Beschwerdegegner 2 und 3 haben eine Parteientschädigung beantragt, ohne eine Honorarnote einzureichen. Ihr Aufwand ist auf sechs Stunden zu schätzen. Es kommt der übliche Stundenansatz von CHF 250. zur Anwendung, sodass sich die zuzusprechende Parteientschädigung für die Beschwerdegegner 2 und 3 jeweils auf CHF 1'500., zuzüglich 3 % für Auslagen in Höhe von CHF 45. und 8,1% Mehrwertsteuer in Höhe von CHF 121.50, folglich auf CHF 1'666.50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