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BES.2024.82 vom 26. Juni 2024</w:t>
      </w:r>
    </w:p>
    <w:p>
      <w:r>
        <w:t>BS Appellationsgericht, 2024-06-26, DE</w:t>
      </w:r>
    </w:p>
    <w:p>
      <w:r>
        <w:rPr>
          <w:b/>
        </w:rPr>
        <w:t xml:space="preserve">Quelle: </w:t>
      </w:r>
      <w:r>
        <w:t>https://mcp.opencaselaw.ch/entscheid/bs_appellationsgericht_BES.2024.82</w:t>
      </w:r>
    </w:p>
    <w:p>
      <w:r>
        <w:t>FR: BS_APPELLATIONSGERICHT BES.2024.82 du 26 juin 2024</w:t>
      </w:r>
    </w:p>
    <w:p>
      <w:r>
        <w:t>IT: BS_APPELLATIONSGERICHT BES.2024.82 del 26 giugno 2024</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BGE 141 IV 380 E. 2.3.1; BGer 1B_426/2015 vom 17. Mai 2016 E. 1.4; AGE BES.2022.165 vom 16. Januar 2024 E. 1.2). Das ist beim Beschwerdeführer der Fall.</w:t>
      </w:r>
    </w:p>
    <w:p>
      <w:r>
        <w:t>1.3Angefochten ist die Nichtanhandnahmeverfügung der Staatsanwaltschaft vom 26. Juni 2024. Ob die zehntätige Beschwerdefrist mit der Beschwerde datiert vom 9. Juli 2024 eingehalten ist (respektive insbesondere die Tatsachenfrage, wann die angefochtene Verfügung dem Beschwerdeführer zugestellt worden ist), kann offen bleiben, da  wie sich aus den nachfolgenden Erwägungen ergibt  auf die Beschwerde ohnehin nicht einzutreten ist.</w:t>
      </w:r>
    </w:p>
    <w:p>
      <w:r>
        <w:rPr>
          <w:b/>
        </w:rPr>
        <w:t>E. 1.4</w:t>
      </w:r>
    </w:p>
    <w:p>
      <w:r>
        <w:t>1.4.1Der Grundsatz «ne bis in idem» ist in Art. 11 Abs. 1 StPO geregelt. Er ist auch in Art. 4 des Protokolls Nr. 7 zur Konvention zum Schutze der Menschenrechte und Grundfreiheiten (EMRK, SR 0.101.07) sowie in Art. 14 Abs. 7 des Internationalen Pakts vom 16. Dezember 1966 über bürgerliche und politische Rechte (UNO-Pakt II, SR 0.103.2) verankert und lässt sich nach der bundesgerichtlichen Rechtsprechung direkt aus der Bundesverfassung (BV, SR 101) ableiten. Demnach darf, wer in der Schweiz rechtskräftig verurteilt oder freigesprochen worden ist, wegen der gleichen Straftat nicht erneut verfolgt werden. Eine rechtskräftige Einstellungsverfügung kommt einem freisprechenden Endentscheid gleich (Art. 320 Abs. 4 StPO). Dies gilt nach Art. 11 Abs. 2 StPO auch bei der Nichtanhandnahmeverfügung (vgl. Art. 310 Abs. 2 StPO), allerdings unter der Einschränkung, dass an eine etwaige Wiederaufnahme gemäss Art. 323 StPO bei nicht anhand genommenen Verfahren tendenziell geringere Anforderungen als bei eingestellten Verfahren zu stellen sind (Tag, in: Basler Kommentar, 3. Auflage 2023, Art. 11 StPO N 13). Tatidentität liegt vor, wenn dem ersten und dem zweiten Strafverfahren identische oder im Wesentlichen gleiche Tatsachen zugrunde liegen. Auf die rechtliche Qualifikation dieser Tatsachen kommt es nicht an. Das Verbot der doppelten Strafverfolgung stellt ein Verfahrenshindernis dar, das in jedem Verfahrensstadium von Amtes wegen zu berücksichtigen ist (zum Ganzen statt vieler BGE 144 IV 362 E. 1.3.2 mit Nachweisen; vgl. auch AGE SB.2020.32 vom 30. Juni 2023 E. 2.1.2.1).</w:t>
      </w:r>
    </w:p>
    <w:p>
      <w:r>
        <w:t>1.4.2Vorliegend wurden die Vorwürfe des Beschwerdeführers gegen die Beschwerdegegnerin 2 bzw. Mitarbeitende derselben bereits mit der Nichtanhandnahmeverfügung der Staatsanwaltschaft vom 20. März 2024 (Strafanzeige ebenfalls wegen Urkundenfälschung und Nötigung gegen die Beschwerdegegnerin 2) beurteilt. Die damalige Nichtanhandnahmeverfügung wurde durch Entscheid des Appellationsgerichts vom 13. Mai 2024 (AGE BES.2024.45) gestützt. Die erneute Anzeige des Beschwerdeführers vom 5. Juni 2024 betrifft denselben Sachverhalt, der schon mit Nichtanhandnahmeverfügung vom 20. März 2024 respektive Entscheid des Appellationsgerichts vom 13. Mai 2024 rechtskräftig abgeschlossen wurde. Derselbe Sachverhalt kann den Strafverfolgungsbehörden nicht mehrfach unterbreitet werden, sodass auf die vorliegende Beschwerde nicht einzutreten ist.</w:t>
      </w:r>
    </w:p>
    <w:p>
      <w:r>
        <w:rPr>
          <w:b/>
        </w:rPr>
        <w:t>E. 2</w:t>
      </w:r>
    </w:p>
    <w:p>
      <w:r>
        <w:t>Die Kosten des Rechtsmittelverfahrens tragen die Parteien nach Massgabe ihres Obsiegens oder Unterliegens (Art. 428 Abs. 1 StPO). Nach dem Gesagten ist auf die Beschwerde nicht einzutreten, weshalb der Beschwerdeführer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