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BES.2024.77 vom 29. Juli 2024</w:t>
      </w:r>
    </w:p>
    <w:p>
      <w:r>
        <w:t>BS Appellationsgericht, 2024-07-29, DE</w:t>
      </w:r>
    </w:p>
    <w:p>
      <w:r>
        <w:rPr>
          <w:b/>
        </w:rPr>
        <w:t xml:space="preserve">Quelle: </w:t>
      </w:r>
      <w:r>
        <w:t>https://mcp.opencaselaw.ch/entscheid/bs_appellationsgericht_BES.2024.77</w:t>
      </w:r>
    </w:p>
    <w:p>
      <w:r>
        <w:t>FR: BS_APPELLATIONSGERICHT BES.2024.77 du 29 juillet 2024</w:t>
      </w:r>
    </w:p>
    <w:p>
      <w:r>
        <w:t>IT: BS_APPELLATIONSGERICHT BES.2024.77 del 29 luglio 2024</w:t>
      </w:r>
    </w:p>
    <w:p>
      <w:pPr>
        <w:pStyle w:val="Heading2"/>
      </w:pPr>
      <w:r>
        <w:t>Erwägungen</w:t>
      </w:r>
    </w:p>
    <w:p>
      <w:r>
        <w:rPr>
          <w:b/>
        </w:rPr>
        <w:t>E. 1</w:t>
      </w:r>
    </w:p>
    <w:p>
      <w:r>
        <w:t>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1.4Gemäss Art. 396 Abs. 1 StPO ist die Beschwerde innert zehn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 Fällt der letzte Tag der Frist auf einen Samstag, einen Sonntag oder einen Feiertag, so endet sie am nächstfolgenden Werktag (Art. 90 Abs. 2 StPO).</w:t>
      </w:r>
    </w:p>
    <w:p>
      <w:r>
        <w:t>Die Verfügung des Strafgerichts Basel-Stadt, mit welcher dieses entschied, auf die Einsprache des Beschwerdeführers gegen den Strafbefehl nicht einzutreten, wurde dem Beschwerdeführer am 13. Juni 2024 zugestellt. Der letzte Tag der zehntägigen Beschwerdefrist fiel folglich auf den 23. Juni 2024. Da es sich dabei allerdings um einen Sonntag handelte, endete sie erst am Montag, 24. Juni 2024. Die Beschwerdeschrift ist am 17. Juni 2024 am Schalter des Appellationsgerichts eingegangen. Die Beschwerde wurde deshalb form- und fristgerecht erhoben, weshalb darauf einzutreten ist.</w:t>
      </w:r>
    </w:p>
    <w:p>
      <w:r>
        <w:rPr>
          <w:b/>
        </w:rPr>
        <w:t>E. 2</w:t>
      </w:r>
    </w:p>
    <w:p>
      <w:r>
        <w:t>Fraglich ist, ob das Einzelgericht in Strafsachen auf die Einsprache des Beschwerdeführers vom 15. Mai 2024 zu Recht nicht eingetreten ist.</w:t>
      </w:r>
    </w:p>
    <w:p>
      <w:r>
        <w:t>2.1Im angefochtenen Nichteintretensentscheid vom 3. Juni 2024 erwog das Einzelgericht in Strafsachen, der Strafbefehl vom 23. April 2024 sei dem Beschwerdeführer am 30. April 2024 zugestellt worden. Angesichts der zehntägigen Einsprachefrist sei die Einsprache vom 15. Mai 2024 verspätet erhoben worden, da sie erst nach Fristablauf der Deutschen Post und von dieser erst noch später der Schweizerischen Post übergeben wurde.</w:t>
      </w:r>
    </w:p>
    <w:p>
      <w:r>
        <w:t>2.2Gemäss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 AGE BES.2024.2 vom 29. Februar 2024 E. 2.2.1). Es liegt in der Verantwortung des Empfängers einer Verfügung dafür zu sorgen, dass seine Beschwerde rechtzeitig am Bestimmungsort eintrifft, beziehungsweise rechtzeitig der Schweizerischen Post übergeben wird. Falls der Beschwerdeführer die Sendung einer ausländischen Poststelle übergibt, muss er auch die Zeit einberechnen, die diese zur Weiterleitung der Sendung an die Schweizerische Post benötigt (vgl. dazu AGE BES.2024.1 vom 5. April 2024 E. 1.1.3, BES.2013.41 vom 6. August 2013 E. 2.3).</w:t>
      </w:r>
    </w:p>
    <w:p>
      <w:r>
        <w:t>2.3Den Akten lässt sich entnehmen, dass der am 23. April 2024 erlassene Strafbefehl dem Beschwerdeführer am 30. April 2024 zugestellt wurde (Vorakten, S. 25). Die zehntägige Frist für die Einsprache gegen den Strafbefehl wäre also bis zum 10. Mai 2024 gelaufen. Der Beschwerdeführer hat die mit Datum vom 8. Mai 2024 versehene Einsprache gegen den Strafbefehl indessen, nach Angaben der Staatsanwaltschaft, erst am 15. Mai 2024 der Deutschen Post übergeben (vgl. Vorakten, S. 21). Wann die Postsendung zu Handen der Schweizerischen Post einging, ist aufgrund des Fehlens eines derartigen Poststempels auf dem Briefcouvert der Einsprache nicht bekannt. Die Beweislast zum Nachweis der Fristenwahrung trägt jedoch der Beschwerdeführer, da er für seine Einsprache gegen den Strafbefehl vom 23. April 2024 an die zehntägige Einsprachefrist gemäss Art. 354 Abs. 1 StPO gebunden war (vgl.Riedo, in: Basler Kommentar, 3. Auflage, 2023, Art. 91 StPO N 25, 68). Hätte der Beschwerdeführer das Datum für die Übergabe der Einsprache an die Deutsche Post (gemäss den Ausführungen der Staatsanwaltschaft und des Strafgerichts der 15. Mai 2024) bestreiten wollen, hätte er aufgrund seiner Beweispflicht für die Fristenwahrung die falsche Feststellung des Datums geltend machen und anderweitige Beweise dafür vorbringen müssen. Dies hat er jedoch unterlassen, sodass auf die unbestrittenen Angaben der Staatsanwaltschaft und des Strafgerichts abgestellt werden kann.</w:t>
      </w:r>
    </w:p>
    <w:p>
      <w:r>
        <w:t>Da die Einsprache vom Beschwerdeführer erst am 15. Mai 2024 und damit fünf Tage nach Ablauf der Einsprachefrist der Deutschen Post übergeben wurde, erfolgte die Einsprache deutlich verspätet. Es kann daher auch offen bleiben, wann die Sendung nach Aufgabe in Deutschland bei der Schweizerischen Post eingetroffen ist. Das Einzelgericht in Strafsachen trat somit zu Recht nicht auf die Einsprache des Beschwerdeführers ein.</w:t>
      </w:r>
    </w:p>
    <w:p>
      <w:r>
        <w:t>2.4Auf dem Briefcouvert der Einsprache des Beschwerdeführers fehlt weiter auch ein Eingangsstempel der Staatsanwaltschaft. In diesem Fall ist dies jedoch nicht von Relevanz, da bereits die Übergabe der Einsprache an die Deutsche Post und damit auch die Übergabe an die Schweizerische Post verspätet erfolgte. Dennoch wäre es wünschenswert, wenn die Staatsanwaltschaft Basel-Stadt Einsprachen zukünftig mit einem Eingangsstempel versehen würde.</w:t>
      </w:r>
    </w:p>
    <w:p>
      <w:r>
        <w:rPr>
          <w:b/>
        </w:rPr>
        <w:t>E. 3</w:t>
      </w:r>
    </w:p>
    <w:p>
      <w:r>
        <w:t>Die Beschwerde ist nach dem Gesagten vollumfänglich abzuweisen. Gemäss Art. 428 Abs. 1 StPO hätte der Beschwerdeführer bei diesem Ausgang des Verfahrens dessen ordentliche Kosten zu tragen. Vorliegend ist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