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BES.2023.39 vom 31. März 2023</w:t>
      </w:r>
    </w:p>
    <w:p>
      <w:r>
        <w:t>BS Appellationsgericht, 2023-03-31, DE</w:t>
      </w:r>
    </w:p>
    <w:p>
      <w:r>
        <w:rPr>
          <w:b/>
        </w:rPr>
        <w:t xml:space="preserve">Quelle: </w:t>
      </w:r>
      <w:r>
        <w:t>https://mcp.opencaselaw.ch/entscheid/bs_appellationsgericht_BES.2023.39</w:t>
      </w:r>
    </w:p>
    <w:p>
      <w:r>
        <w:t>FR: BS_APPELLATIONSGERICHT BES.2023.39 du 31 mars 2023</w:t>
      </w:r>
    </w:p>
    <w:p>
      <w:r>
        <w:t>IT: BS_APPELLATIONSGERICHT BES.2023.39 del 31 marzo 2023</w:t>
      </w:r>
    </w:p>
    <w:p>
      <w:pPr>
        <w:pStyle w:val="Heading2"/>
      </w:pPr>
      <w:r>
        <w:t>Erwägungen</w:t>
      </w:r>
    </w:p>
    <w:p>
      <w:r>
        <w:rPr>
          <w:b/>
        </w:rPr>
        <w:t>E. 1</w:t>
      </w:r>
    </w:p>
    <w:p>
      <w:r>
        <w:t>Die inhaftierte Person kann Entscheide betreffend Verlängerung von Sicherheitshaft innert zehn Tagen nach Eröffnung des entsprechenden Beschlusses mit Beschwerde anfechten (Art. 393 Abs. 1 lit. c in Verbindung mit Art. 222 StPO). Zuständiges Beschwerdegericht ist das Appellationsgericht als Einzelgericht (§ 88 Abs. 1 in Verbindung mit § 93 Abs. 1 Ziff. 1 des Gerichtsorganisationsgesetzes [GOG, SG 154.100]), welches gemäss Art. 393 Abs. 2 StPO mit voller Kognition urteilt. Auf die nach Art. 396 Abs. 1 StPO frist- und formgerecht eingereichte Beschwerde ist einzutreten.</w:t>
      </w:r>
    </w:p>
    <w:p>
      <w:r>
        <w:rPr>
          <w:b/>
        </w:rPr>
        <w:t>E. 2</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3</w:t>
      </w:r>
    </w:p>
    <w:p>
      <w:r>
        <w:t>Praxisgemäss ist nach einer erstinstanzlichen Verurteilung von einem dringenden Tatverdacht auszugehen (BGer 1B_176/2018 vom 2. Mai 2018 E. 3.2, 1B_392/2013 vom 22. November 2013 E. 5; AGE HB.2019.70 vom 16. Dezember 2019 E. 3). Die Kritik der Verteidigung am Versuchsbeginn hinsichtlich des Tatbestands der Gefährdung des Lebens ist in einem allfälligen Berufungsverfahren vorzubringen bzw. läuft aktuell ins Leere. Weitere diesbezügliche Ausführungen erübrigen sich.</w:t>
      </w:r>
    </w:p>
    <w:p>
      <w:r>
        <w:rPr>
          <w:b/>
        </w:rPr>
        <w:t>E. 4</w:t>
      </w:r>
    </w:p>
    <w:p>
      <w:r>
        <w:t>4.1Das Strafgericht hat den Haftgrund der Fortsetzungsgefahr hinsichtlich fremdschädigender Gewaltdelikte angenommen. 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das Vortaterfordernis erfüllt sein (vgl. E. 4.2 hiernach) und es müssen schwere Vergehen oder Verbrechen drohen (vgl. E. 4.3 hiernach). Zudem muss hierdurch die Sicherheit anderer erheblich gefährdet sein (vgl. E. 4.4 hiernach). Schliesslich muss die Tatwiederholung ernsthaft zu befürchten sein, was anhand einer Rückfallprognose zu beurteilen ist (vgl. E.</w:t>
      </w:r>
    </w:p>
    <w:p>
      <w:r>
        <w:rPr>
          <w:b/>
        </w:rPr>
        <w:t>E. 4.2</w:t>
      </w:r>
    </w:p>
    <w:p>
      <w:r>
        <w:t>4.2.1Bei den in Art. 221 Abs. 1 lit. c StPO verlangten Vortaten muss es sich um Verbrechen oder schwere Vergehen gegen gleiche oder gleichartige Rechtsgüter gehandelt haben, wie sie im hängigen 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Es kann auch die sehr grosse Wahrscheinlichkeit einer Verurteilung im konkreten Einzelfall genügen. Bei akut drohenden Schwerverbrechen kann nach der Rechtsprechung des Bundesgerichtes sogar ausnahmsweise auf das Vortatenerfordernis verzichtet werden (BGE 137 IV 13 E. 3-4; vgl. dazuForster, in: Basler Kommentar, 2. Auflage 2014, Art. 221 StPO N 15;Frei/Zuberbühler Elsässer, in: Donatsch/Lieber/Summers/Wohlers [Hrsg.], Kommentar zur StPO, 3. Auflage, Zürich 2030, Art. 221 N 32 ff.; BGE 143 IV 9 E. 2.3.1, 137 IV 84 E. 3.2; BGer 1B_458/2016 vom 19. Dezember 2016 E. 3.2, 1B_270/2016 vom 4. August 2016 E. 2.3).</w:t>
      </w:r>
    </w:p>
    <w:p>
      <w:r>
        <w:t>4.2.2Der Beschwerdeführer wurde mit Strafbefehl der Staatsanwaltschaft Basel-Stadt vom</w:t>
      </w:r>
    </w:p>
    <w:p>
      <w:r>
        <w:rPr>
          <w:b/>
        </w:rPr>
        <w:t>E. 4.3</w:t>
      </w:r>
    </w:p>
    <w:p>
      <w:r>
        <w:t>4.3.1Leichte Vergehen werden vom Haftgrund der Wiederholungsgefahr nicht erfasst. Ausgangspunkt dieser Qualifikation bildet die abstrakte Strafdrohung gemäss Gesetz (BGer 1B_512/2012 vom 2. Oktober 2012 E. 4.3). Voraussetzung für die Einstufung als schweres Vergehen ist, dass eine Freiheitsstrafe bis zu drei Jahren droht (vgl. hierzuForster, a.a.O., Art. 221 StPO N 12). Als drohende schwere Delikte nennt das Bundesgericht zum Beispiel Einbruchdiebstähle, Körperverletzungen und Drohungen sowie Drogendelikte (BGE 137 IV 84 E. 3.2; BGer 1B_247/2016 vom 27. Juli 2016 E. 2.1, 1B_437/2016 vom 5. Dezember 2016 E. 2.1; vgl. Hinweise beiForster, a.a.O., Art. 221 StPO N 15 FN 62).</w:t>
      </w:r>
    </w:p>
    <w:p>
      <w:r>
        <w:t>4.3.2Beim zur Diskussion stehenden Tatbestand der Gefährdung des Lebens handelt es sich um ein Verbrechen, welches vom Haftgrund der Wiederholungsgefahr erfasst wird. Auch dass es sich bei der einfachen Körperverletzung entsprechend der zitierten bundesgerichtlichen Rechtsprechung abstrakt um ein schweres Vergehen handelt, ist evident. In Bezug auf die konkrete Schwere der zur Diskussion stehenden Delikte ist Folgendes festzuhalten: Gemäss ergänzender Anklageschrift vom 3. November 2022 (der Beschwerdeführer wurde gestützt darauf mitunter wegen versuchter Gefährdung des Lebens [Rücktritt vom Versuch] und einfacher Körperverletzung verurteilt), habe der Beschwerdeführer am 18. August 2022 einen Streit mit C____ begonnen. Er habe Letzterer zirka ein halbes Dutzend Faustschläge gegen das Gesicht und den Hinterkopf verpasst, ein Mobiltelefon gegen sie geworfen und sie mit einem Staubsaugerrohr geschlagen. In der Folge habe er ein Ladekabel zur Hand genommen, dieses um den Hals von C____ gelegt, einen Knoten gemacht und versucht, das Kabel mit aller Kraft zusammenzuziehen. C____ sei es indessen gelungen, in die Schlinge des Ladekabels hineinzugreifen und dagegen zu drücken, sodass sie die Schlinge schliesslich von ihrem Hals wegdrücken konnte. Gemäss Gutachten des Instituts für Rechtsmedizin vom 9. September 2022 zog sich C____ anlässlich dieses Vorfalls eine Weichgewebsschwellung innerhalb der behaarten Kopfhaut (bis 2.5 Zentimeter durchmessend), Hautein- und -unterblutungen in der Nasenregion und am linken Auge sowie eine Schleimhauteinblutung (1.5 x 0.3 Zentimeter) in der Mundvorhofschleimhaut der Oberlippe zu. Dass die (versuchte) Gefährdung des Lebens mittels Strangulation mit dem Ladekabel als schwerwiegend zu beurteilen ist, steht ausser Frage. Die skizzierten Verletzungen, die zu einer Verurteilung wegen einfacher Körperverletzung geführt haben, sind im Gesamtkontext der mehrfachen Schläge nicht mehr als an der Schwelle zur Tätlichkeit zu qualifizieren und damit auch in ihrem konkreten Gehalt als schwer im Sinne von Art. 221 Abs. 1 lit. c StPO zu qualifizieren.</w:t>
      </w:r>
    </w:p>
    <w:p>
      <w:r>
        <w:rPr>
          <w:b/>
        </w:rPr>
        <w:t>E. 4.4</w:t>
      </w:r>
    </w:p>
    <w:p>
      <w:r>
        <w:t>4.4.1Die erhebliche Gefährdung der Sicherheit anderer durch drohende Verbrechen oder schwere Vergehen kann sich grundsätzlich auf Rechtsgüter jeder Art beziehen (BGer 1B_126/2011 vom 6. April 2011 E. 3.7). Delikte gegen das Vermögen sind zwar unter Umständen in hohem Mass sozialschädlich, betreffen aber in der Regel nicht unmittelbar die Sicherheit der Geschädigten, ausser es handelt sich um besonders schwere Vermögensdelikte (BGer 1B_373/2016 vom 23. November 2016 E. 2.7, 1B_379/2011 vom 2. August 2011 E. 2.8). Im Vordergrund stehen deshalb Delikte gegen die körperliche und die sexuelle Integrität (BGE 143 IV 9 E. 2.7).</w:t>
      </w:r>
    </w:p>
    <w:p>
      <w:r>
        <w:t>4.4.2Bei den in vorstehender Erwägung thematisierten Straftaten handelt es sich um Delikte gegen die körperliche Integrität, weshalb mit Blick auf die vorstehend zitierte bundesgerichtliche Rechtsprechung auch das Erfordernis der erheblichen Gefährdung als erfüllt betrachtet werden kann.</w:t>
      </w:r>
    </w:p>
    <w:p>
      <w:r>
        <w:rPr>
          <w:b/>
        </w:rPr>
        <w:t>E. 4.5</w:t>
      </w:r>
    </w:p>
    <w:p>
      <w:r>
        <w:t>4.5.1Nach dem Gesetz muss schliesslich ernsthaft zu befürchten sein, dass der Beschuldigte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(BGE 143 IV 9 E. 2.8 ff.;Frei/Zuberbühler Elsässer, a.a.O., Art. 221 N 38;Forster, a.a.O., Art. 221 StPO N 15).</w:t>
      </w:r>
    </w:p>
    <w:p>
      <w:r>
        <w:t>4.5.2Der Gutachter, D____, diagnostizierte in seinem forensisch-psychiatrischen Gutachten vom 13. Februar 2023 beim Beschwerdeführer eine gemischte schizoaffektive Störung (F25.2) (DD chronische paranoide Schizophrenie), eine Störung durch Opioide, Abhängigkeitssyndrom (F11.22), eine Störung durch Kokain, Abhängigkeitssyndrom (F14.21), eine Störung durch Stimulanzien (Methylphenidat), Abhängigkeitssyndrom (F15.22) sowie anamnestisch eine Neigung zum schädlichen Gebrauch anderer psychotroper Substanzen (Cannabis, Benzodiazepine u.a.; F19.1). Anhand verschiedener Prognoseinstrumente schätzt er das Risiko erneuter (störungsbedingter) fremdschädigender Fehlverhaltensweisen von der Art und Schwere der ihm aktuell vorgeworfenen Delikte (unter anderem Gefährdung des Lebens und Körperverletzung) und spontaner impulsiver Gewalthandlungen als hoch ein (insbesondere bei fehlender, unzureichender oder ineffizienter psychiatrischer Behandlung). Abhängig von der jeweils bei ihm vorherrschenden psychopathologischen Symptomatik und von der Dynamik in seinen zwischenmenschlichen Beziehungen wie auch von den konkreten Tatumständen, könnten dabei auch noch gravierendere Gewaltstraftaten (unter anderem mit schweren Opferschäden) nicht ausgeschlossen werden. Gestützt darauf muss dem Beschwerdeführer eine sehr ungünstige Rückfallprognose gestellt werden, was unmittelbar mit den in HB.2022.38 vom 14. September 2022 zitierten Bedenken von E____ und F____ (der Beschwerdeführer sei unberechenbar und es bestehe die Gefahr eines «Femizids» zum Nachteil von C____) korrespondiert.</w:t>
      </w:r>
    </w:p>
    <w:p>
      <w:r>
        <w:t>4.6Nach dem Gesagten ist mit dem Strafgericht von Fortsetzungs- bzw. Wiederholungsgefahr auszugehen.</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aufzuheben, sobald Ersatzmassnahmen zum gleichen Ziel führen (Art. 197 Abs. 1 lit. c und Art. 212 Abs. 2 lit. c StPO). Die Sicherheitshaft darf ausserdem nur solange erstreckt werden, als ihre Dauer nicht in grosse Nähe der konkret zu erwartenden Strafe rückt (Art. 212 Abs. 3 StPO; BGE 124 I 208 E. 6 S. 215).</w:t>
      </w:r>
    </w:p>
    <w:p>
      <w:r>
        <w:t>5.2Der mehrfach vorbestrafte Beschwerdeführer befindet sich seit dem 28. August 2022 in Haft. Mit dem Urteil des Strafdreiergerichts wurde er zu einer Freiheitsstrafe von 20 Monaten verurteilt, wobei der Vollzug derselben aufgeschoben und eine stationäre psychiatrische Behandlung angeordnet wurde. Letztere ist nicht befristet worden, sodass der mit der stationären Behandlung verbundene Freiheitsentzug  sollte der Beschwerdeführer zuvor nicht im Sinne von Art. 62 des Strafgesetzbuches (StGB, SR 311.0) bedingt entlassen werden  vorerst fünf Jahre beträgt (Art. 59 Abs. 4 StGB), wobei auch ein Gesuch um vorzeitigen Massnahmenvollzug (Art. 236 StPO) gestellt werden könnte. Zudem hat der bisher in prekären Verhältnissen lebende Beschwerdeführer in der Vergangenheit bereits verschiedentlich manifestiert (und wurde dafür auch vom Strafgericht verurteilt), dass er sich weder an Haus-, Rayon- oder Kontaktverbote hält und ihn auch an Ort und Stelle ausgesprochene polizeiliche Wegweisungen und kurzfristige Inhaftierungen nicht von einer Rückkehr an bestimmte Orte (wo sich C____ aufhält) abhalten können. Vor diesem Hintergrund fallen die beantragten Ersatzmassnahmen (Kontakt- und Rayonverbot) zum vornherein ausser Betracht. Die Leistung einer Kaution ist nur schon aufgrund der angenommenen Fortsetzungs- bzw. Wiederholungsgefahr ausgeschlossen, wobei auch nicht ersichtlich ist, aus welchen Mitteln der Beschwerdeführer eine solche leisten sollte. Darüber hinaus ist nicht erkennbar, inwiefern eine wöchentliche Meldepflicht (auch beim kantonalen Bedrohungsmanagement der Kantonspolizei Basel-Stadt) den Beschwerdeführer  ohne nunmehr nachhaltige psychiatrische und psychotherapeutische Behandlung  an der Begehung weiterer Delikte hindern könnte. Wenn der Beschwerdeführer nun behauptet, dass seine Liebe zu C____ erloschen sei, ist darauf hinzuweisen, dass er vor gut einem halben Jahr noch zu Protokoll gegeben hat, C____ habe eine multiple Persönlichkeitsstörung, «was mich nicht davon abhält, sie abgöttisch zu verehren und zu lieben». Kommt dazu, dass der Beschwerdeführer in naher Zukunft mit anderen Frauen Beziehungen eingehen könnte, welche bei weiterhin fehlender psychiatrischer und psychotherapeutischer Behandlung gemäss Gutachten von D____ der sehr ernsten Gefahr von Gewaltdelikten ausgesetzt wären.</w:t>
      </w:r>
    </w:p>
    <w:p>
      <w:r>
        <w:rPr>
          <w:b/>
        </w:rPr>
        <w:t>E. 6</w:t>
      </w:r>
    </w:p>
    <w:p>
      <w:r>
        <w:t>6.1Aus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Berufungsurteil oder  falls kein Berufungsurteil ergeht  in einem separaten Entscheid des Appellationsgerichtspräsidenten zu befinden (Art. 421 Abs. 1 StPO).</w:t>
      </w:r>
    </w:p>
    <w:p>
      <w:r>
        <w:t>6.2Dem amtlichen Verteidiger, B____, ist ein Honorar gemäss seiner Aufstellung aus der Gerichtskasse auszurichten. Für die genaue Höhe wird auf das Dispositiv verwiesen. Der Entscheid über eine allfällige Rückforderung gemäss Art. 135 Abs. 4 StPO wird dem Berufungsurteil oder  falls kein Berufungsurteil ergeht einem separaten Entscheid des Appellationsgerichtspräsidenten vorbehalten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