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BES.2023.34 vom 15. Februar 2023</w:t>
      </w:r>
    </w:p>
    <w:p>
      <w:r>
        <w:t>BS Appellationsgericht, 2023-02-15, DE</w:t>
      </w:r>
    </w:p>
    <w:p>
      <w:r>
        <w:rPr>
          <w:b/>
        </w:rPr>
        <w:t xml:space="preserve">Quelle: </w:t>
      </w:r>
      <w:r>
        <w:t>https://mcp.opencaselaw.ch/entscheid/bs_appellationsgericht_BES.2023.34</w:t>
      </w:r>
    </w:p>
    <w:p>
      <w:r>
        <w:t>FR: BS_APPELLATIONSGERICHT BES.2023.34 du 15 février 2023</w:t>
      </w:r>
    </w:p>
    <w:p>
      <w:r>
        <w:t>IT: BS_APPELLATIONSGERICHT BES.2023.34 del 15 febbraio 2023</w:t>
      </w:r>
    </w:p>
    <w:p>
      <w:pPr>
        <w:pStyle w:val="Heading2"/>
      </w:pPr>
      <w:r>
        <w:t>Erwägungen</w:t>
      </w:r>
    </w:p>
    <w:p>
      <w:r>
        <w:rPr>
          <w:b/>
        </w:rPr>
        <w:t>E. 1</w:t>
      </w:r>
    </w:p>
    <w:p>
      <w:r>
        <w:t>1.1Gemäss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Ziff.1 des Gerichtsorganisationsgesetzes [GOG, SG 154.100]), welches gemäss Art. 393 Abs.</w:t>
      </w:r>
    </w:p>
    <w:p>
      <w:r>
        <w:rPr>
          <w:b/>
        </w:rPr>
        <w:t>E. 2</w:t>
      </w:r>
    </w:p>
    <w:p>
      <w:r>
        <w:t>StPO auch ein Verfahrensprotokoll nach Art. 77 StPO. Dieses enthalte eine chronologische Auflistung aller parteiöffentlicher Aktenstücke inklusive Angabe darüber, wann diese in die Akten gelangt seien. Dies entspreche den Anforderungen von AGE BES.2021.96 vom 21. März 2022.</w:t>
      </w:r>
    </w:p>
    <w:p>
      <w:r>
        <w:t>2.3Mit seiner Replik macht der Beschwerdeführer geltend, entgegen der in der Vernehmlassung vom 22. Mai 2023 vertretenen Ansicht der Staatsanwaltschaft sei ein Dossier mit acht Bänden und gesamthaft fast 2000 Seiten Aktenmaterial aus unterschiedlichen Kantonen als ein umfassendes Dossier anzusehen. Zudem habe das Appellationsgericht im Entscheid BES.2021.96 vom 21. März 2022 festgehalten, dass aus Gründen der Übersichtlichkeit eine Paginierung der Aktenstücke sowie das Erstellen eines Akten- bzw. Inhaltsverzeichnisses gleich zu Beginn der Untersuchung notwendig sei. Das Appellationsgericht gehe also von der Basis der Paginierung aus und bespreche danach das Erfordernis des Aktenverzeichnisses und Verfahrensprotokolls. Selbst wenn die bisherige (kantonale) Praxis anders ausgestaltet gewesen sein möge, habe sich die Praxis an die klare Rechtsprechung und Rechtsetzung anzupassen. Die Formvorschiften seien nicht formeller Selbstzweck, sondern bezweckten die Gewährleistung des rechtlichen Gehörs im Strafverfahren im Sinne von Art. 29 Abs. 2 der Bundeverfassung (BV, SR 101) und Art. 6 Ziff. 1 der Europäischen Menschenrechtskonvention (EMRK, SR 0.101).</w:t>
      </w:r>
    </w:p>
    <w:p>
      <w:r>
        <w:rPr>
          <w:b/>
        </w:rPr>
        <w:t>E. 3</w:t>
      </w:r>
    </w:p>
    <w:p>
      <w:r>
        <w:t>3.1Die Anforderungen an die Aktenführung können nicht abstrakt festgelegt werden, sondern hängen von den Umständen des Einzelfalls, insbesondere von der Komplexität des Verfahrens und des Umfangs der Akten, ab. Im Grundsatz sind die Akten so zu führen, dass sich damit befasste Personen ohne weiteres aktenkundig machen können und dass die beschuldigte Person ihre Verfahrensrechte effizient wahrnehmen kann. Das Bundesgericht greift bezüglich Aktenführung nur sehr zurückhaltend in die kantonale Praxis ein. Geprüft wird jeweils, ob der Verstoss gegen die Aktenführungspflicht eine Verweigerung des rechtlichen Gehörs in einem Ausmass darstellt, das die Aufhebung des angefochtenen Urteils rechtfertigen würde (BGE 115 Ia 97 E. 5b; BGer 6B_1095/2019 vom 30. Oktober 2019 E. 3.3.2). Grundsätzlich sollten die Akten transparent strukturiert und paginiert aufbereitet sein, so dass sie unmittelbar erschliessbar sind (BGer 6B_1095/2019 vom 30. Oktober 2019 E. 3.3.4).</w:t>
      </w:r>
    </w:p>
    <w:p>
      <w:r>
        <w:t>3.2Zur Frage, ob die Akten schon ab Eröffnung einer Untersuchung zu paginieren (das heisst mit einer fortlaufenden Seitenzahl zu versehen) und in einem Aktenverzeichnis zu erfassen sind, hat sich das Appellationsgericht in der Vergangenheit verschiedentlich geäussert. Gemäss der nach Inkrafttreten der eidgenössischen Strafprozessordnung am 1. Januar 2011 etablierten basel-städtischen Praxis wurde eine schon mit Beginn der Untersuchung erfolgende laufende Paginierung der Akten nicht für zwingend erachtet (AGE BES.2013 vom 12. September 2013 E. 4.2, BES.2018.3 vom 15. Oktober 2018 E. 3.3, BES.2017.160 vom 8. Dezember 2017 E. 2.1, BES.2019.211 vom 17. Dezember 2019 E. 2.2.2 f., BES.2020.20 vom 8. Juni 2020 E. 3.4). Unlängst hat das Appellationsgericht in mehreren Entscheiden  in Abweichung von der bisherigen Praxis  die Anforderungen an die staatsanwaltschaftliche Aktenführung erhöht (AGE BES.2021.62/92 vom 15. Dezember 2021 E. 3.1 f., BES.2021.96 vom 21. März 2022 E. 2.4, BES.2022.57 vom 8. Dezember 2022 E. 3.1.2, BES.2021.85 vom 8. Dezember 2022 E. 3.1, BES.2023.19 vom 26. Juli 2023 E. 3, BES.2023.41 vom 17. August 2023 E. 3). Seither ist die Staatsanwaltschaft gehalten, die Aktenstücke im Regelfall  unabhängig davon, ob sie systematisch (Einordnung nach Rubriken «zur Person», «Rechtsbeistände», «Anhaltung/Haft», «Weitere Zwangsmassnahmen», «Allgemeiner Teil», «zur Sache», «Nebenakten», «Abschluss des Vorverfahrens») oder chronologisch abgelegt werden  schon ab Beginn der Erstellung eines Aktendossiers laufend zu paginieren (das heisst mit Seitenzahlen zu versehen) und in einem Aktenverzeichnis zu erfassen (Art. 100 Abs. 2 StPO). Das Aktenverzeichnis muss eine präzise Bezeichnung der jeweiligen Aktenstücke enthalten und über deren Fundstelle in den Akten Auskunft geben. In einfachen Fällen kann vom Erstellen eines Aktenverzeichnisses abgesehen (Art. 100 Abs. 2 i.f. StPO) und auf eine Paginierung verzichtet werden, sofern eine Nummerierung der Aktenstücke (das heisst die Vergabe einer Aktorennummer je Aktenstück) erfolgt.</w:t>
      </w:r>
    </w:p>
    <w:p>
      <w:r>
        <w:rPr>
          <w:b/>
        </w:rPr>
        <w:t>E. 3.3</w:t>
      </w:r>
    </w:p>
    <w:p>
      <w:r>
        <w:t>3.3.1Sowohl die Staatsanwaltschaft als auch der Beschwerdeführer verweisen auf den Entscheid BES.2021.96 vom 21. März 2022. In Erwägung 2.4 dieses Entscheids hat das Appellationsgericht festgehalten, dass«eine Paginierung der Aktenstücke sowie das Erstellen eines Akten- bzw. Inhaltsverzeichnisses gleich zu Beginn der Erstellung des Aktendossiers notwendig [ist]». In Erwägung 2.6 (und ähnlich auch im Dispositiv) wurde die Staatsanwaltschaft anschliessend angewiesen,«entweder (zusätzlich) ein Verfahrensprotokoll nach Art. 77 StPO zu führen [] oder  soweit ausschliesslich ein Akten- bzw. Inhaltsverzeichnis nach Art. 100 Abs. 2 StPO geführt wird  die Aktenstücke entsprechend einem solchen Verzeichnis fortlaufend zu paginieren sowie das Datum ihres Eingangs auf dem Aktenstück selbst oder im Aktenverzeichnis zu erfassen».</w:t>
      </w:r>
    </w:p>
    <w:p>
      <w:r>
        <w:t>3.3.2Es ist der Staatsanwaltschaft zuzustimmen, dass in Erwägung 2.6 sowie im Dispositiv die Formulierung «die Aktenstücke fortlaufend zu paginieren»überflüssig erscheint, sofern eine Paginierung  wie es in Erwägung 2.4 steht  in beiden Fällen vorausgesetzt wird. Aufgrund dieser Unklarheit hinsichtlich des Gehalts der Erwägungen 2.4 und 2.6 wurde AGE BES.2021.96 vom 21. März 2022 unlängst präzisiert und die Erwägung 2.4 für massgeblich befunden (AGE BES.2023.19 vom 26. Juli 2023 E. 3.2.1; vgl. auch AGE BES.2023.41 vom 17. August 2023 E. 3.2.1). Das bedeutet, dass eine Paginierung der Aktenstücke schon ab Beginn der Erstellung des Aktendossiers erforderlich ist.</w:t>
      </w:r>
    </w:p>
    <w:p>
      <w:r>
        <w:t>3.3.3Nach dem Gesagten genügt die vorliegende Aktenführung der Staatsanwaltschaft, mithin der Verzicht auf eine Paginierung der Akten ab Beginn der Untersuchung, nicht. Zudem ist darauf hinzuweisen, dass bei einem Strafverfahren, das  laut eigenem Dafürhalten der Staatsanwaltschaft noch in der angefochtenen Verfügung  laufend und in starkem Umfang wächst und acht Bände bzw. über 1'800 Aktenseiten umfasst, auch kein einfacher Fall im Sinne von Art. 100 Abs. 2 i.f. StPO mehr vorliegt.</w:t>
      </w:r>
    </w:p>
    <w:p>
      <w:r>
        <w:t>3.4Die Beschwerde ist demnach gutzuheissen, Ziff. 2 und 4 der angefochtenen Verfügung aufzuheben und die Staatsanwaltschaft anzuweisen, die Akten fortlaufend zu paginieren, ein auf die paginierten Akten Bezug nehmendes Aktenverzeichnis anzufertigen und beides dem Beschwerdeführer zur Einsichtnahme zur Verfügung zu stellen.</w:t>
      </w:r>
    </w:p>
    <w:p>
      <w:r>
        <w:rPr>
          <w:b/>
        </w:rPr>
        <w:t>E. 4</w:t>
      </w:r>
    </w:p>
    <w:p>
      <w:r>
        <w:t>Bei diesem Ausgang des Verfahrens werden keine Kosten erhoben (Art. 428 Abs. 1 StPO) und hat der anwaltlich vertretene Beschwerdeführer Anspruch auf eine Parteientschädigung, wobei auf die Kostennote vom 29. Juni 2023 abgestellt werden kann.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