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BES.2023.160 vom 20. November 2023</w:t>
      </w:r>
    </w:p>
    <w:p>
      <w:r>
        <w:t>BS Appellationsgericht, 2023-11-20, DE</w:t>
      </w:r>
    </w:p>
    <w:p>
      <w:r>
        <w:rPr>
          <w:b/>
        </w:rPr>
        <w:t xml:space="preserve">Quelle: </w:t>
      </w:r>
      <w:r>
        <w:t>https://mcp.opencaselaw.ch/entscheid/bs_appellationsgericht_BES.2023.160</w:t>
      </w:r>
    </w:p>
    <w:p>
      <w:r>
        <w:t>FR: BS_APPELLATIONSGERICHT BES.2023.160 du 20 novembre 2023</w:t>
      </w:r>
    </w:p>
    <w:p>
      <w:r>
        <w:t>IT: BS_APPELLATIONSGERICHT BES.2023.160 del 20 novembre 2023</w:t>
      </w:r>
    </w:p>
    <w:p>
      <w:pPr>
        <w:pStyle w:val="Heading2"/>
      </w:pPr>
      <w:r>
        <w:t>Erwägungen</w:t>
      </w:r>
    </w:p>
    <w:p>
      <w:r>
        <w:rPr>
          <w:b/>
        </w:rPr>
        <w:t>E. 1</w:t>
      </w:r>
    </w:p>
    <w:p>
      <w:r>
        <w:t>1.1Nichtanhandnahmeverfügungen der Staatsanwaltschaft können innert zehn Tagen mit Beschwerde bei der Beschwerdeinstanzangefochten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 Auf die rechtzeitig und formgültig erhobene Beschwerde ist einzutreten.</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BGer 1B_426/2015 vom 17. Mai 2016 E. 1.4).</w:t>
      </w:r>
    </w:p>
    <w:p>
      <w:r>
        <w:t>Das ist bei der Beschwerdeführerin hinsichtlich der beanzeigten Äusserungen im Schreiben des Beschwerdegegners vom 15. April 2023 im Rahmen der schriftlichen Stellungnahme an die Staatsanwaltschaft im Verfahren VT.[...] der Fall. Die Beschwerde ist überdies form- und fristgerecht eingereicht worden (Art. 396 Abs. 1 StPO), so dass auf sie in diesem Punkt einzutreten ist.</w:t>
      </w:r>
    </w:p>
    <w:p>
      <w:r>
        <w:t>Die restlichen Anträge der Beschwerdeführerin (insbesondere die zahlreichen Anweisungen an die Staatsanwaltschaft) sind demgegenüber nicht Gegenstand der angefochtenen Verfügung und damit ist auf diese nicht einzutreten. Im Übrigen sei erwähnt, dass keine Gründe für eine Abweichung des Grundsatzes der Verfahrenseinheit gemäss Art. 29 StPO und damit für eine Verfahrenstrennung im Verfahren VT.[...] ersichtlich sind.</w:t>
      </w:r>
    </w:p>
    <w:p>
      <w:r>
        <w:t>1.3Angefochten ist die Nichtanhandnahmeverfügung der Staatsanwaltschaft vom 20. November 2023.</w:t>
      </w:r>
    </w:p>
    <w:p>
      <w:r>
        <w:rPr>
          <w:b/>
        </w:rPr>
        <w:t>E. 2</w:t>
      </w:r>
    </w:p>
    <w:p>
      <w:r>
        <w:t>2.2Gemäss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w:t>
      </w:r>
    </w:p>
    <w:p>
      <w:r>
        <w:t>2.3Eine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zwingend eine Nichtanhandnahmeverfügung erlassen (Vogelsang, in: Basler Kommentar, 3. Aufl. 2014, Art. 310 StPO N 8;Landshut/ Bosshard, in: Donatsch et al. [Hrsg.], Kommentar zur Schweizerischen Strafprozessordnung, 3. Aufl., Zürich 2020, Art. 310 N 1a, je mit weiteren Hinweisen; vgl. auch AGE BES.2022.158 E. 2.1, BES.2020.159 vom 7. Dezember 2020 E. 2.1).</w:t>
      </w:r>
    </w:p>
    <w:p>
      <w:r>
        <w:rPr>
          <w:b/>
        </w:rPr>
        <w:t>E. 3</w:t>
      </w:r>
    </w:p>
    <w:p>
      <w:r>
        <w:t>3.2In der Vergangenheit kam es zu einem Strafverfahren, in welchem die Beschwerdeführerin wegen diversen Delikten verurteilt wurde, so beispielsweise wegen eines Hausfriedensbruchs, bei welchem sie in Begleitung von D____ unterwegs war, der seinerseits ebenfalls wegen Hausfriedensbruchs verurteilt wurde (vgl. Urteile des Appellationsgerichts vom 3. November 2017 und vom 19. Oktober 2018). Das Strafgericht Basel-Stadt verurteilte D____ mit Urteil vom 7. Juni 2016 zudem u.a. wegen falscher Anschuldigung zum Nachteil von B____. Im betreffenden Strafgerichtsurteil finden sich auf S. 33 folgende Ausführungen: «Das Verschulden von D____ wiegt nicht leicht. Im Vordergrund steht dabei die falsche Anschuldigung zum Nachteil von B____. Schwer fällt hier ins Gewicht, dass es immerhin um den Vorwurf der Kindsentführung geht, bezichtigte der Beschuldigte den Ex-Mann seiner Kollegin A____ bei der Polizei doch, für das Verschwinden des gemeinsamen Sohnes [...] verantwortlich zu sein und diesen in Gefahr gebracht zu haben. Darüber hinaus schreckte der Beschuldigte auch nicht davor zurück, B____ als massiv gewalttätig und bedrohlich darzustellen, um seine Beschuldigung glaubwürdiger dastehen zu lassen und die Polizei zum Handeln zu veranlassen. Auch der Hausfriedensbruch zum Nachteil der Leiterin der Wohngruppe an der [...]strasse darf nicht bagatellisiert werden. Zwar kann D____ hier nicht als die treibende Kraft bezeichnet werden, doch liess er sich von A____ instrumentalisieren und schloss sich kritiklos deren im Zusammenhang mit den verfügten Fremdplatzierungen ihrer beiden Kinder geführten Offensive gegen die Behörden an. Anstatt seine Kollegin vom gewaltsamen Betreten des Wohnheimes abzuhalten, liess er sie gewähren und folgte ihr sogar selber bis ins Innere des Hauses».</w:t>
      </w:r>
    </w:p>
    <w:p>
      <w:r>
        <w:t>Dieses Urteil wurde bezüglich des Schuldspruchs betreffend falsche Anschuldigung vom Appellationsgericht mit Urteil vom 3. November 2017 aufgehoben und es erfolgte lediglich ein Schuldspruch wegen Hausfriedensbruchs. Zur Begründung des Freispruchs führte das Appellationsgericht aus, es sei offensichtlich, dass D____, als hilfsbereitem, jedoch möglicherweise auch ein wenig leichtgläubigem Menschen, die Schilderungen von A____, wonach sie in [...] durch B____ vorsätzlich schwer verletzt worden sei, ziemlich «eingefahren» seien. Es sei davon auszugehen, dass D____ die fragliche Beschuldigung weder wider besseres Wissen, noch in der Absicht auf Herbeiführung einer Strafverfolgung mitgeteilt habe.</w:t>
      </w:r>
    </w:p>
    <w:p>
      <w:r>
        <w:t>Mit der Staatsanwaltschaft kann aus dieser Vorgeschichte klar geschlossen werden, dass D____ in der Vergangenheit stark von A____ beeinflusst war und zu diesem Zweck sogar strafrechtlich in Erscheinung trat. Weder hinsichtlich der angezeigten Verleumdung nach Art. 174 StGB noch der falschen Anschuldigung nach Art. 303 StGB ist somit der subjektive Tatbestand erfüllt, denn die Äusserungen des Beschwerdegegners erfolgten klarerweise nicht wider besseres Wissen, durfte dieser aufgrund der Urteile des Appellationsgericht vom 3. November 2017 und vom 19. Oktober 2018 zu Recht solche Vermutungen äussern.</w:t>
      </w:r>
    </w:p>
    <w:p>
      <w:r>
        <w:t>Zusammengefasst ist bezüglich der beanzeigten Äusserungen im Schreiben des Beschwerdegegners vom 15. April 2023 im Rahmen der schriftlichen Stellungnahme an die Staatsanwaltschaft im Verfahren VT.[...] festzuhalten, dass weder hinsichtlich der Verleumdung nach Art. 174 StGB noch der falschen Anschuldigung nach Art. 303 StGB der subjektive Tatbestand erfüllt ist. Die Äusserungen des Beschwerdegegners erfolgten klarerweise nicht wider besseres Wissen, durfte dieser aufgrund der Urteile des Appellationsgericht vom 3. November 2017 (gegen D____ als Beschuldigten) bzw. vom 19. Oktober 2018 (gegen A____ als Beschuldigte) zu Recht solche Vermutungen äussern. Bereits aus diesem Grund, erfolgte die Nichtanhandnahme der Staatsanwaltschaft zu Recht. Im Übrigen gilt es zu berücksichtigen, dass Äusserungen von Anwälten oder Prozessparteien gerechtfertigt sein können, wenn sie sich im Rahmen der prozessualen Darlegungs- und Begründungspflicht bewegen (BGE 116 IV 211, 212;Niggli/Göhlich, in: Basler Kommentar StPO, 2. Auflage 2014, Art. 14 N 19). Diesbezüglich gilt auch als notorisch, dass beispielsweise bei prozessualen Eingaben von Anwälten relativ grosszügig mit allenfalls scharfen Formulierungen umgegangen wird  umso mehr muss dies für Laieneingaben wie im vorliegenden Fall gelten (vgl. dazu analog die Ausführungen zu ehrverletzenden Äusserungen bei politischen Auseinandersetzungen:Riklin, a.a.O., Vor Art. 173 StGB N 33). Der Beschwerdegegner hat vorliegend in seinem schriftlichen Bericht vom 15. April 2023 von der Staatsanwaltschaft an ihn gerichtete Fragen beantwortet. In Anwendung von Art. 14 StGB erscheinen die vom Beschwerdegegner gemachten Äusserungen somit auch in dieser Hinsicht als zulässig. Die Prüfung eines Entlastungsbeweises bezüglich der üblen Nachrede nach Art. 173 Abs. 2 StGB erübrigt sich bei diesem Ergebnis, würde aber aufgrund der Urteile des Appellationsgericht vom 3. November 2017 und vom 19. Oktober 2018 ebenfalls zugelassen.</w:t>
      </w:r>
    </w:p>
    <w:p>
      <w:r>
        <w:rPr>
          <w:b/>
        </w:rPr>
        <w:t>E. 4</w:t>
      </w:r>
    </w:p>
    <w:p>
      <w:r>
        <w:t>4.1Aus den vorstehenden Erwägungen ergibt sich, dass der Beschwerdegegner offensichtlich keine strafbaren Handlungen begangen hat. Die Staatsanwaltschaft ist daher zu Recht nicht auf die Strafanzeige eingetreten, so dass folgerichtig die Beschwerde gegen die Nichtanhandnahmeverfügung abzuweisen ist.</w:t>
      </w:r>
    </w:p>
    <w:p>
      <w:r>
        <w:t>4.2Gemäss Art. 428 Abs. 1 StPO tragen die Parteien die Kosten des Rechtsmittelverfahrens nach Massgabe ihres Obsiegens oder Unterliegens. Dem Ausgang des vorliegenden Verfahrens entsprechend würden die Verfahrenskosten prinzipiell der Beschwerdeführerin auferlegt. Der Beschwerdeführerin wird jedoch gestützt auf Art. 136 StPO die unentgeltliche Rechtspflege bewilligt.  Zufolge Gutheissung des Gesuchs der Beschwerdeführerin um unentgeltliche Rechtspflege für die Privatklägerschaft gehen die Verfahrenskosten in der Höhe von CHF 600. (Art. 428 Abs. 1 StPO in Verbindung mit § 21 Abs. 2 des Reglements über die Gerichtsgebühren [GGR, SG 154.810]) zu Lasten des Staates.</w:t>
      </w:r>
    </w:p>
    <w:p>
      <w:r>
        <w:t>4.3Dem unentgeltlichen Rechtsbeistand der Beschwerdeführerin ist für seine notwendigen Bemühungen im Beschwerdeverfahren eine Parteientschädigung aus der Gerichtskasse zu entrichten (Art. 118 Abs. 2 lit. c StPO). Mit Honorarnote vom 17. Januar 2024 macht Advokat [...] einen eigenen Aufwand von 9.42 Stunden (ohne Berücksichtigung der Replik) geltend, was als zu hoch erscheint. Namentlich Rechtsabklärungen sind grundsätzlich bereits im ordentlichen Stundenansatz enthalten und werden nur ausnahmsweise, bei aussergewöhnlichen Rechtsfragen, entschädigt. Solche sind hier nicht ersichtlich. Überdies erachtet die Beschwerdeinstanz den betriebenen Aufwand für die Ausarbeitung auch als insgesamt überhöht. Praxisgemäss erscheint im vorliegend durchschnittlich aufwändigen Beschwerdefall insgesamt lediglich ein Aufwand von 6 Stunden zu einem Ansatz von CHF 200. pro Stunde als noch angemessen. Dem unentgeltlichen Rechtsbeistand der Beschwerdeführerin ist demnach eine Parteientschädigung von CHF 1'200. (inklusive Auslagen) zuzüglich 8.1% Mehrwertsteuer von CHF 97.20, insgesamt somit CHF 1297.20,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