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BES.2023.138 vom 12. Oktober 2023</w:t>
      </w:r>
    </w:p>
    <w:p>
      <w:r>
        <w:t>BS Appellationsgericht, 2023-10-12, DE</w:t>
      </w:r>
    </w:p>
    <w:p>
      <w:r>
        <w:rPr>
          <w:b/>
        </w:rPr>
        <w:t xml:space="preserve">Quelle: </w:t>
      </w:r>
      <w:r>
        <w:t>https://mcp.opencaselaw.ch/entscheid/bs_appellationsgericht_BES.2023.138</w:t>
      </w:r>
    </w:p>
    <w:p>
      <w:r>
        <w:t>FR: BS_APPELLATIONSGERICHT BES.2023.138 du 12 octobre 2023</w:t>
      </w:r>
    </w:p>
    <w:p>
      <w:r>
        <w:t>IT: BS_APPELLATIONSGERICHT BES.2023.138 del 12 ottobre 2023</w:t>
      </w:r>
    </w:p>
    <w:p>
      <w:pPr>
        <w:pStyle w:val="Heading2"/>
      </w:pPr>
      <w:r>
        <w:t>Erwägungen</w:t>
      </w:r>
    </w:p>
    <w:p>
      <w:r>
        <w:rPr>
          <w:b/>
        </w:rPr>
        <w:t>E. 1</w:t>
      </w:r>
    </w:p>
    <w:p>
      <w:r>
        <w:t>1.1.Die angefochtene Verfügung des Einzelgerichts in Strafsachen vom 6. September 2023 ist ein Nichteintretensentscheid, mit dem nicht materiell über Straffragen befunden wurde. Es kommt daher gemäss Art. 393 Abs. 1 lit. b in Verbindung mit Art. 80 Abs. 1 der Strafprozessordnung (StPO, SR 312.0) das Beschwerdeverfahren zur Anwendung. Zuständiges Beschwerdegericht ist das Appellationsgericht als Einzelgericht (§ 88 Abs. 1 in Verbindung mit § 93 Abs. 1 Ziff. 1 des Gerichtsorganisationsgesetzes [GOG, SG 154.100]). Die Kognition des Beschwerdegerichts ist frei und nicht auf Willkür beschränkt (vgl. Art. 393 Abs. 2 StPO).</w:t>
      </w:r>
    </w:p>
    <w:p>
      <w:r>
        <w:t>1.2Zur Beschwerde legitimiert ist jede Partei, die ein rechtlich geschütztes Interesse an der Aufhebung oder Änderung eines Entscheids hat (Art. 382 Abs. 1 StPO). Der Beschwerdeführer ist als Adressat der angefochtenen Verfügung dadurch unmittelbar in seinen Interessen berührt und hat ein rechtlich geschütztes Interesse an der Aufhebung oder Änderung der Verfügung, weshalb er zur Beschwerdeerhebung berechtigt ist. Auf die fristgerecht eingereichte Beschwerde (Art. 396 Abs. 1 StPO) ist demnach einzutreten.</w:t>
      </w:r>
    </w:p>
    <w:p>
      <w:r>
        <w:rPr>
          <w:b/>
        </w:rPr>
        <w:t>E. 2</w:t>
      </w:r>
    </w:p>
    <w:p>
      <w:r>
        <w:t>StPO). Die vom 30. August 2023 datierte Einsprache des Beschwerdeführers wurde gleichentags an der Porte der Staatsanwaltschaft abgegeben. Die Einsprache ist demzufolge verspätet erhoben worden, sodass die Vorinstanz zu Recht nicht auf diese eingetreten ist. Die Beschwerde ist demnach abzuweisen.</w:t>
      </w:r>
    </w:p>
    <w:p>
      <w:r>
        <w:t>2.3Der Vollständigkeit halber sei erwähnt, dass eine Wiederherstellung der Frist gemäss Art. 94 StPO  um welche im Übrigen zunächst bei der Vorinstanz zu ersuchen wäre (Art. 94 Abs. 2 StPO)  ebenfalls ausscheidet. Der Beschwerdeführer hat in der vorliegendenBeschwerdekeinerlei Gründe für sein verspätetes Handeln gegen den Strafbefehl genannt und keine entsprechenden Beweismittel vorgebracht. Solche Gründe, namentlich eine schwere Krankheit, und insbesondere die damit einhergehende objektive Unfähigkeit, rechtzeitig zu handeln oder einen Dritten mit der Fristwahrung zu beauftragen, sind auch nicht ersichtlich (vgl. Art. 94 StPO und die dazu ergangene langjährige strenge Praxis des Appellationsgerichts zur Wiedereinsetzung in den vorigen Stand; statt vieler AGE BES.2023.105 vom 25. September 2023 E. 3.3 mit weiteren Hinweisen).</w:t>
      </w:r>
    </w:p>
    <w:p>
      <w:r>
        <w:rPr>
          <w:b/>
        </w:rPr>
        <w:t>E. 3</w:t>
      </w:r>
    </w:p>
    <w:p>
      <w:r>
        <w:t>Bei diesem Ausgang des Beschwerdeverfahrens hätte der Beschwerdeführer gemäss Art. 428 Abs. 1 StPO grundsätzlich dessen Kosten zu tragen. Umständehalber ist jedoch auf die Erhebung einer Gerichtsgebühr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