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BES.2022.45 vom 14. März 2022</w:t>
      </w:r>
    </w:p>
    <w:p>
      <w:r>
        <w:t>BS Appellationsgericht, 2022-03-14, DE</w:t>
      </w:r>
    </w:p>
    <w:p>
      <w:r>
        <w:rPr>
          <w:b/>
        </w:rPr>
        <w:t xml:space="preserve">Quelle: </w:t>
      </w:r>
      <w:r>
        <w:t>https://mcp.opencaselaw.ch/entscheid/bs_appellationsgericht_BES.2022.45</w:t>
      </w:r>
    </w:p>
    <w:p>
      <w:r>
        <w:t>FR: BS_APPELLATIONSGERICHT BES.2022.45 du 14 mars 2022</w:t>
      </w:r>
    </w:p>
    <w:p>
      <w:r>
        <w:t>IT: BS_APPELLATIONSGERICHT BES.2022.45 del 14 marzo 2022</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2.1Bei diesem Ausgang des Beschwerdeverfahrens hat der Beschwerdeführer dessen Kosten zu tragen (Art. 428 Abs. 1 StPO). Die Gebühr wird auf CHF 1´000. festgesetzt (vgl. § 21 Abs. 2 des Gerichtsgebührenreglements [GGR, SG 154.810]) und mit dem geleisteten Kostenvorschuss in gleicher Höhe verrechnet.</w:t>
      </w:r>
    </w:p>
    <w:p>
      <w:r>
        <w:t>2.2Gemäss Art. 429 Abs. 1 lit. a StPO hat die beschuldigte Person Anspruch auf Entschädigung ihrer Aufwendungen für die angemessene Ausübung ihrer Verfahrensrechte, wenn sie ganz oder teilweise freigesprochen oder das Verfahren gegen sie eingestellt wird, was in Verbindung mit Art. 436 Abs. 1 StPO auch auf die beschuldigte Beschwerdegegnerschaft im Beschwerdeverfahren zutrifft (vgl. statt vieler AGE BES.2015.77 vom 14. März 2016 E. 4.2). Da es sich vorliegend um eine Nichtanhandnahmeverfügung und um Offizialdelikte handelt, trägt der Staat die beantragte Parteientschädigung des beschuldigten Beschwerdegegners (vgl. BGE 147 IV 47 E. 4.2.3 ff.; AGE BES.2021.9 E. 5.2). Die Rechtsvertreterin des Beschwerdegegners hat keine Honorarnote eingereicht, weshalb der Aufwand zu schätzen ist. Vorliegend erscheinen Bemühungen im Umfang von drei Stunden als angemessen. Dem Beschwerdegegner ist daher, nach einem auf der Grundlage des anzuwendenden Überwälzungstarifs von CHF 250. (inkl. Auslagen) zuzüglich MWST von 7,7 %, eine Parteientschädigung in Höhe von insgesamt CHF 807.75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