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BES.2022.32 vom 27. Oktober 2020</w:t>
      </w:r>
    </w:p>
    <w:p>
      <w:r>
        <w:t>BS Appellationsgericht, 2020-10-27, DE</w:t>
      </w:r>
    </w:p>
    <w:p>
      <w:r>
        <w:rPr>
          <w:b/>
        </w:rPr>
        <w:t xml:space="preserve">Quelle: </w:t>
      </w:r>
      <w:r>
        <w:t>https://mcp.opencaselaw.ch/entscheid/bs_appellationsgericht_BES.2022.32</w:t>
      </w:r>
    </w:p>
    <w:p>
      <w:r>
        <w:t>FR: BS_APPELLATIONSGERICHT BES.2022.32 du 27 octobre 2020</w:t>
      </w:r>
    </w:p>
    <w:p>
      <w:r>
        <w:t>IT: BS_APPELLATIONSGERICHT BES.2022.32 del 27 ottobre 2020</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SR 312.0]). Zuständige Beschwerdeinstanz ist das Appellationsgericht als Einzelgericht (§ 88 Abs. 1 in Verbindung mit § 93 Abs. 1 Ziff. 1 des Gerichtsorganisationsgesetzes [GOG, SG 154.100]). Die Kognition des Beschwerdegerichts ist frei und nicht auf Willkür beschränkt (Art. 393 Abs. 2 StPO).</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BGE 141 IV 380 E. 2.3.1; BGer 1B_426/2015 vom 17. Mai 2016 E. 1.4; AGE BES.2015.77 vom 14. März 2016). Aus der Anzeigestellung allein kann demnach kein Beschwerderecht abgeleitet werden. Der Beschwerdeführer hat sich vor dem Erlass der vorliegend angefochtenen Nichtanhandnahmeverfügung nicht ausdrücklich als Privatkläger konstituiert. Nach bundesgerichtlicher Rechtsprechung sind indes Geschädigten dann volle Parteirechte einzuräumen, wenn sie  wie hier  noch keine Gelegenheit hatten, sich zur Konstituierung zu äussern, z.B. wenn gleich zu Beginn des Vorverfahrens eine Nichtanhandnahme ergeht und sie unmittelbar geschädigt sind (BGE 141 IV 380 E. 2.2 S. 382 f. mit weiteren Hinweisen; vgl.Schmid/Jositsch, Schweizerische Strafprozessordnung, Praxiskommentar, 2. Aufl. 2013, Art. 115 N 4). Da der beanzeigte Betrug zu seinem Nachteil begangen worden sein soll bzw. er dadurch unmittelbar geschädigt wäre, ist der Beschwerdeführer vorliegend zur Beschwerde legitimiert (AGE BES.2021.31 vom 29. Juli 2021 E. 1.2).</w:t>
      </w:r>
    </w:p>
    <w:p>
      <w:r>
        <w:t>1.3Gemäss Art. 385 Abs. 1 StPO muss in der Begründung eines Rechtsmittels genau angegeben werden, welche Punkte des Entscheides angefochten werden, welche Gründe einen anderen Entscheid nahelegen und welche Beweismittel angerufen werden. Bei einer rechtsunkundigen Person werden an die Begründungspflicht keine allzu strengen Anforderungen gestellt. Allerdings muss auch ein juristischer Laie zumindest sinngemäss angeben, inwiefern er den angefochtenen Entscheid für unrichtig respektive fehlerhaft hält. Aus der Beschwerdebegründung des Beschwerdeführers geht zumindest knapp hervor, welche Handlungen der Beschuldigten seiner Ansicht nach die Eröffnung einer Strafuntersuchung nach sich ziehen sollten. Damit ist den Begründungsanforderungen an einen Laien gerade noch Genüge getan. Die Beschwerde ist zudem fristgerecht erhoben worden (Art. 396 Abs. 1 StPO), so dass auf sie einzutreten ist.</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mittels Verfahrenseinstellung durch die Strafverfolgungsbehörde erledigt werden kann, gilt auch bezüglich der Nichtanhandnahme der aus dem Legalitätsprinzip fliessende Grundsatz «in dubio pro duriore» (Art. 5 Abs. 1 der Bundesverfassung [BV, SR 101] und Art. 2 Abs. 1 StPO i.V.m.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2. Auflage, Art. 310 StPO N 611a, vgl. auch AGE BES 2015.77 vom 14. März 2016 E. 2.1).</w:t>
      </w:r>
    </w:p>
    <w:p>
      <w:r>
        <w:rPr>
          <w:b/>
        </w:rPr>
        <w:t>E. 3</w:t>
      </w:r>
    </w:p>
    <w:p>
      <w:r>
        <w:t>3.1Die Staatsanwaltschaft begründet ihre Nichtanhandnahmeverfügung vom 15. Februar 2022 damit, dass der vom Beschwerdeführer in der Anzeige vom 10. Januar 2022 geschilderte Sachverhalt mit Urteil des Obergerichts Bern vom 27. Oktober 2020 und anschliessend vom Bundesgericht mit Urteil vom 17. Februar 2021 abschliessend beurteilt worden sei. Eine erneute strafrechtliche Beurteilung desselben Sachverhalts sei aufgrund des Verbots der doppelten Strafverfolgung ausgeschlossen (act. 1).</w:t>
      </w:r>
    </w:p>
    <w:p>
      <w:r>
        <w:t>3.2Der Beschwerdeführer macht in seiner Beschwerde vom 17. Februar 2022 geltend, er sei nicht einverstanden mit der Nichtanhandnahmeverfügung. Er möchte seinen durch den Betrug aus dem Jahr 2015 entstandenen Schaden in Höhe von CHF 400'000. ersetzt haben (act. 2 und 4).</w:t>
      </w:r>
    </w:p>
    <w:p>
      <w:r>
        <w:rPr>
          <w:b/>
        </w:rPr>
        <w:t>E. 4</w:t>
      </w:r>
    </w:p>
    <w:p>
      <w:r>
        <w:t>Gemäss Art. 11 Abs. 1 StPO dürfen in der Schweiz rechtskräftig verurteilte oder freigesprochene Personen wegen der gleichen Straftat nicht nochmals einem Strafverfahren unterstellt werden. Das Vorliegen eines rechtskräftigen Entscheids ist für ein neues Verfahren mit dem gleichen Gegenstand ein Verfahrenshindernis, das in jeder Lage von Amtes wegen zu beachten ist (Tag,in: Basler Kommentar, 2. Auflage, Art. 11 StPON13) und welches die Staatsanwaltschaft zur Nichtanhandnahme eines erneuten Verfahrens verpflichtet (vgl. E. 2).</w:t>
      </w:r>
    </w:p>
    <w:p>
      <w:r>
        <w:t>Aus der Anzeige vom 10. Januar 2022 und der Beschwerde vom 17. Februar 2022 geht hervor, dass der Beschwerdeführer ein Strafverfahren initiieren möchte, welches gegen dieselbe Beschuldigte und aufgrund derselben Straftat bereits geführt und mit Urteil des Obergerichts des Kantons Bern vom 27. Oktober 2020 rechtskräftig abgeschlossen wurde. Wie die Staatsanwaltschaft zu Recht ausführt, ist eine erneute strafrechtliche Beurteilung aufgrund des Verbots der doppelten Strafverfolgung somit ausgeschlossen. Die Nichtanhandnahmeverfügung ist nicht zu beanstanden.</w:t>
      </w:r>
    </w:p>
    <w:p>
      <w:r>
        <w:rPr>
          <w:b/>
        </w:rPr>
        <w:t>E. 5</w:t>
      </w:r>
    </w:p>
    <w:p>
      <w:r>
        <w:t>5.1Aus dem Gesagten folgt, dass die Staatsanwaltschaft die Strafanzeige zu Recht nicht an die Hand genommen hat. Die Beschwerde ist somit abzuweisen.</w:t>
      </w:r>
    </w:p>
    <w:p>
      <w:r>
        <w:t>5.2Bei diesem Ausgang des Beschwerdeverfahrens hat der Beschwerdeführer dessen Kosten zu tragen (Art. 428 Abs. 1 StPO). Die Gebühr wird auf CHF 500. festgesetzt (vgl. § 21 Abs. 2 des Gerichtsgebührenreglements [GGR, SG 154.810]) und ist mit dem von der Beschwerdeführerin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