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BES.2022.110 vom 14. November 2022</w:t>
      </w:r>
    </w:p>
    <w:p>
      <w:r>
        <w:t>BS Appellationsgericht, 2022-11-14, DE</w:t>
      </w:r>
    </w:p>
    <w:p>
      <w:r>
        <w:rPr>
          <w:b/>
        </w:rPr>
        <w:t xml:space="preserve">Quelle: </w:t>
      </w:r>
      <w:r>
        <w:t>https://mcp.opencaselaw.ch/entscheid/bs_appellationsgericht_BES.2022.110</w:t>
      </w:r>
    </w:p>
    <w:p>
      <w:r>
        <w:t>FR: BS_APPELLATIONSGERICHT BES.2022.110 du 14 novembre 2022</w:t>
      </w:r>
    </w:p>
    <w:p>
      <w:r>
        <w:t>IT: BS_APPELLATIONSGERICHT BES.2022.110 del 14 novembre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mittellos ist oder die Höhe der Kosten zusammen mit ihren übrigen Schulden ihre Resozialisierung beziehungsweise ihr finanzielles Weiterkommen ernsthaft gefährden kann (Domeisen, a.a.O., Art. 425 StPO N 4).</w:t>
      </w:r>
    </w:p>
    <w:p>
      <w:r>
        <w:t>2.2Wie sich aus den im Erlassverfahren eingereichten Unterlagen ergibt, wurde die Gesuchstellerin vor Antritt des Strafvollzugs von der Nothilfe Basel-Stadt unterstützt. Sie verfügt derzeit  mit Ausnahme eines geringen Guthabens bei der Strafanstalt Gmünden  über kein Erspartes. In der Strafanstalt geht die Gesuchstellerin zwar einer Arbeit nach, allerdings ist der sich daraus ergebende Verdienst äusserst gering. Weiter legt die Gesuchstellerin glaubhaft dar, dass sie aufgrund ihres massiv angeschlagenen körperlichen Gesundheitszustandes und ihrer psychischen Leiden nach der Entlassung aus dem Strafvollzug kaum in der Lage sein werde, einer geregelten Anstellung nachzugehen und ein Einkommen zu erzielen. Es ist daher nicht davon auszugehen, dass sich an der Mittellosigkeit der Gesuchstellerin innert absehbarer Zeit etwas ändern dürfte. Unter diesen Umständen erscheint eine Kostenauflage im Sinne des vorstehend Ausgeführten als unbillig. Aus diesem Grund sowie mit Blick auf die Resozialisierung der Gesuchstellerin rechtfertigt es sich, ihr die Verfahrenskosten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