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BES.2021.152 vom 7. Februar 2022</w:t>
      </w:r>
    </w:p>
    <w:p>
      <w:r>
        <w:t>BS Appellationsgericht, 2022-02-07, DE</w:t>
      </w:r>
    </w:p>
    <w:p>
      <w:r>
        <w:rPr>
          <w:b/>
        </w:rPr>
        <w:t xml:space="preserve">Quelle: </w:t>
      </w:r>
      <w:r>
        <w:t>https://mcp.opencaselaw.ch/entscheid/bs_appellationsgericht_BES.2021.152</w:t>
      </w:r>
    </w:p>
    <w:p>
      <w:r>
        <w:t>FR: BS_APPELLATIONSGERICHT BES.2021.152 du 7 février 2022</w:t>
      </w:r>
    </w:p>
    <w:p>
      <w:r>
        <w:t>IT: BS_APPELLATIONSGERICHT BES.2021.152 del 7 febbraio 2022</w:t>
      </w:r>
    </w:p>
    <w:p>
      <w:pPr>
        <w:pStyle w:val="Heading2"/>
      </w:pPr>
      <w:r>
        <w:t>Erwägungen</w:t>
      </w:r>
    </w:p>
    <w:p>
      <w:r>
        <w:rPr>
          <w:b/>
        </w:rPr>
        <w:t>E. 1</w:t>
      </w:r>
    </w:p>
    <w:p>
      <w:r>
        <w:t>1.1Die angefochtene Verfügung des Einzelgerichts in Strafsachen vom 11. Oktober 2021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w:t>
      </w:r>
    </w:p>
    <w:p>
      <w:r>
        <w:rPr>
          <w:b/>
        </w:rPr>
        <w:t>E. 1.2</w:t>
      </w:r>
    </w:p>
    <w:p>
      <w:r>
        <w:t>1.2.1Gemäss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Nach bundesgerichtlicher Rechtsprechung besteht im Grundsatz kein Anspruch darauf, bei Eingaben eine andere Sprache als die Verfahrenssprache zu verwenden (BGE 143 IV 117 E. 2.1 S. 119).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 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 Vorliegend wurde die Beschwerde in französischer Sprache und damit in einer hiesigen Landessprache verfasst. Die Eingabe ist zudem zweifelsohne kurz und in einfacher Sprache gehalten. Sie wird somit im Sinne der vorstehenden Ausführungen ausnahmsweise entgegengenommen  womit noch nichts dazu gesagt ist, ob hierauf auch einzutreten ist.</w:t>
      </w:r>
    </w:p>
    <w:p>
      <w:r>
        <w:t>1.2.2Dessen ungeachtet besteht im Übrigen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womit den Anforderungen von Art. 68 Abs. 2 StPO Genüge getan ist (vgl. AGE SB.2019.104 vom 9. Januar 2020 E. 2.2.; BGE 143 IV 117 E. 3 S. 120 f.).</w:t>
      </w:r>
    </w:p>
    <w:p>
      <w:r>
        <w:t>1.3Der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 Der Beschwerdeführer nimmt im zweiten Absatz seiner Beschwerde insofern auf die Nichteintretensverfügung des Einzelgerichts in Strafsachen Bezug, als er die verspätete Einreichung seiner Einsprache damit begründet, dass er umgezogen sei und die Post regelmässig von seinem Vorvermieter zugestellt erhalten habe. Deshalb habe das Schreiben («votre courrier») erst am 19. September [2021] erhalten. Mit diesem Schreiben soll wohl der Strafbefehl vom 26. August 2021 gemeint sein, obgleich dieser von der Staatsanwaltschaft und nicht vom angesprochenen Adressaten der Beschwerde («Strafgericht Basel-Stadt») erlassen wurde. Weiter beantragt der Beschwerdeführer die Berücksichtigung seiner Einsprache (siehe den Betreff: «Objet: Demande de prise en compte de mon objection»). Darin kann sinngemäss eine Beschwerde gegen die Verfügung des Einzelgerichts in Strafsachen gesehen werden. Damit genügt seine Beschwerde den Anforderungen an eine Laienbeschwerde.</w:t>
      </w:r>
    </w:p>
    <w:p>
      <w:r>
        <w:t>1.4Gemäss Art. 382 Abs. 1 StPO erfordert die Legitimation zur Beschwerde das Vorliegen eines rechtlich geschützten Interesses an der Aufhebung oder Änderung des Entscheids. Der Adressat eines Entscheids hat regelmässig ein rechtlich geschütztes Interesse an der Aufhebung oder Änderung desselben. Vorliegend bestehen zwar gewisse Zweifel, ob der Beschwerdeführer mit dem Adressaten/der Adressatin der angefochtenen Verfügung des Einzelgerichts in Strafsachen vom 11. Oktober 2021 übereinstimmt, da in den Akten diesbezüglich gewisse Unstimmigkeiten bestehen. So lauten die Übertretungsanzeige vom 17. September 2020 (act. 4, S. 32. f.), die Mahnung vom 20. Mai 2021 (act. 4, S. 34) und der Strafbefehl vom 26. August 2021 (act. 4, S. 3 f.) auf «Frau B____». Die Verfügung des Einzelgerichts in Strafsachen vom 11. Oktober 2021 lautet ebenfalls auf «B____», allerdings ist darin von «dem Einsprecher» die Rede (act. 1). Die Beschwerde des Beschwerdeführers vom 9. Dezember 2021 wiederum wurde mit «B____»  also mit einem sehr ähnlichen, männlichen Vornamen und dem gleichen Nachnamen  unterzeichnet (act. 2). Auch in der Einsprache vom 11. September 2021 gegen den Strafbefehl (act. 4, S. 5) taucht der Name «MR [also Herr] A____» auf. Bei näherem Hinsehen lauten wohl auch die handschriftlichen und schlecht lesbaren Lenkerangaben der Fahrzeughalterin, der Firma C____, auf dem Formular «Halterhaftung» auf «A____» in Grossbuchstaben und nicht auf «B____»  zumal als Beruf der betreffenden Person «CHAUFFEUR» in männlicher Form angegeben wurde (act. 4, S. 22 f.). Hinzu kommt, dass «B____» im Gegensatz zu «A____» kein üblicher Vorname ist. Vor diesem Hintergrund ist wohl davon auszugehen, dass es sich bei der Bezeichnung «B____» um einen redaktionellen Fehler der Strafbehörden handelt und vielmehr der Beschwerdeführer Adressat der Übertretungsanzeige vom 17. September 2020, der Mahnung vom 20. Mai 2021, des Strafbefehls vom 26. August 2021 sowie der Verfügung des Einzelgerichts in Strafsachen vom 11. Oktober 2021 ist  und sich insbesondere auch als solchen verstanden hat. Dies korrespondiert auch mit den sinngemässen Ausführungen des Beschwerdeführers in seiner Beschwerde vom 9. Dezember 2021, wonachergegen den Strafbefehl Einsprache erhoben habe und die Verfügung des Einzelgerichts in Strafsachen erhalten habe (vgl. act. 2). Ferner ähnelt die Unterschrift in der Einsprache vom 11. September 2021 jener in der Beschwerde vom 9. Dezember 2021. Da die beiden Unterschriften aber auch nicht eindeutig als identisch qualifiziert werden können, verbleiben gewisse Zweifel. Als Adressat der genannten Verfügungen wäre der Beschwerdeführer zur Beschwerde legitimiert. Ob dies der Fall ist, muss indes nicht abschliessend beantwortet werden, da auf die Beschwerde aus anderen Gründen nicht einzutreten ist (siehe hierzu sogleich).</w:t>
      </w:r>
    </w:p>
    <w:p>
      <w:r>
        <w:rPr>
          <w:b/>
        </w:rPr>
        <w:t>E. 1.5</w:t>
      </w:r>
    </w:p>
    <w:p>
      <w:r>
        <w:t>1.5.1Die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Die Frist beginnt am Tag nach der Eröffnung respektive Zustellung zu laufen (Art. 90 Abs. 1 StPO) und ist eingehalten, wenn die Einsprache spätestens am letzten Tag der Frist bei der zuständigen Behörde abgegeben oder zu deren Handen der Schweizerischen Post oder einer schweizerischen diplomatischen oder konsularischen Vertretung übergeben wird (Art. 91 Abs. 2 StPO;Riedo, in: Basler Kommentar, 2. Auflage, Basel 2014, Art. 91 StPO N 21).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w:t>
      </w:r>
    </w:p>
    <w:p>
      <w:r>
        <w:t>Die Nichteintretensverfügung des Einzelgerichts in Strafsachen vom 11. Oktober 2021 enthält eine umfassende Rechtsmittelbelehrung, aus welcher insbesondere hervorgeht, dass lediglich die Übergabe zu Handen der Schweizerischen Post oder die Abgabe an eine schweizerische diplomatische oder konsularische Vertretung fristwahrend sind (act. 1, S. 3). Diese Belehrung wurde der Verfügung vom 11. Oktober 2021 auch in französischer Übersetzung beigelegt (act. 1, S. 3). Hieraus hätte dem Beschwerdeführer klarwerden müssen, dass eine im Ausland aufgegebene Sendung spätestens im Zeitpunkt des Fristablaufs bei der Grenzstelle der Schweizerischen Post zur Beförderung übergeben worden sein muss, um als rechtzeitig eingereicht zu gelten.</w:t>
      </w:r>
    </w:p>
    <w:p>
      <w:r>
        <w:t>1.5.2Vorliegend wurde die angefochtene Nichteintretensverfügung des Einzelgerichts in Strafsachen vom 11. Oktober 2021  nach einem gescheiterten ersten Zustellungsversuch  gemäss Sendungsverfolgung der Schweizerischen Post am 6. November 2021 mittels eingeschriebener Postsendung an die neue Adresse des Beschwerdeführers, [...], zugestellt (vgl. act. 1, act. 3 und act. 4, S. 41-45).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www.rhf.admin.ch/rhf/de/home/strafrecht/rechtsgrundlagen/multilateral/sdue/mitteilungen.html, besucht am 3. Februar 2022; vgl. auch BGer 1C_ 432/2017 vom 7. Februar 2018 E. 2.4). Die Zustellung der Nichteintretensverfügung des Einzelgerichts in Strafsachen per eingeschriebener Post (statt per Rechtshilfe) erweist sich gestützt auf diese Bestimmungen als zulässig (vgl. mit Blick auf die eingeschriebene Zustellung von Strafbefehlen BES.2021.45 vom 2. Juni 2021 E. 3.2).</w:t>
      </w:r>
    </w:p>
    <w:p>
      <w:r>
        <w:t>1.5.3Die Beschwerdefrist begann somit am 6. November 2021 zu laufen und endete am 16. November 2021. Spätestens an diesem Tag hätte die Beschwerde beim Appellationsgericht abgegeben oder zu dessen Handen der Schweizerischen Post oder einer schweizerischen diplomatischen oder konsularischen Vertretung übergeben werden müssen. Im vorliegenden Fall hat der Beschwerdeführer seine Beschwerde allerdings erst am 10. Dezember 2021  im Übrigen zuhanden des «Strafgerichts Basel-Stadt»  bei der französischen Post aufgegeben. Davon abgesehen, dass die Beschwerdefrist bereits im Zeitpunkt der Aufgabe bei der französischen Post abgelaufen war, hat die Aufgabe bei einer ausländischen Post keine fristwahrende Wirkung. Vielmehr entfaltet sich diese erst in jenem Zeitpunkt, in dem die Eingabe von der Schweizerischen Post zur Weiterbeförderung in Empfang genommen wird (siehe oben E. 1.5.1). Da die Sendung erst am 15. Dezember 2021  also über einen Monat nach Ablauf der Beschwerdefrist  von der Schweizerischen Post zur Weiterbeförderung in Empfang genommen wurde, hat der Beschwerdeführer die zehntätige Beschwerdefrist nicht eingehalten.</w:t>
      </w:r>
    </w:p>
    <w:p>
      <w:r>
        <w:t>1.5.4Auch eine Wiederherstellung der Frist gemäss Art. 94 StPO scheidet aus. Der Beschwerdeführer hat in der vorliegenden Beschwerde keine Gründe für sein verspätetes Handeln gegen die Nichteintretensverfügung des Einzelgerichts in Strafsachen genannt und keine entsprechenden Beweismittel vorgebracht. Solche Gründe, namentlich gravierende Naturereignisse, Kriegsereignisse, eine schwere Erkrankung oder ein Unfall,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DG.2010.25 vom 24. Januar2011 mit weiteren Hinweisen; BES.2012.114 vom 19. Juni2013 E. 3.1.2;Riedo,a.a.O., Art. 94 StPO N 37 ff.).</w:t>
      </w:r>
    </w:p>
    <w:p>
      <w:r>
        <w:t>Auch ein Grund, die Frist angesichts der Fremdsprachigkeit des Beschwerdeführers ausnahmsweise wiederherzustellen, liegt trotz seiner französischsprachigen Eingaben nicht vor  zumal sowohl die angefochtene Nichteintretensverfügung des Einzelgerichts in Strafsachen, als auch die darin enthaltene Rechtsmittelbelehrung jeweils auch auf Französisch übersetzt an den Beschwerdeführer zugestellt wurden (siehe E. 1.5.1 hiervor). Ferner geht aus der Beschwerde hervor, dass der Beschwerdeführer den Inhalt der Nichteintretensverfügung hinreichend verstanden hat. Im Übrigen macht er auch keine sprachlichen Hindernisse geltend, welche zu seinem Säumnis geführt hätten.</w:t>
      </w:r>
    </w:p>
    <w:p>
      <w:r>
        <w:t>Auf die Beschwerde ist folglich nicht einzutreten.</w:t>
      </w:r>
    </w:p>
    <w:p>
      <w:r>
        <w:rPr>
          <w:b/>
        </w:rPr>
        <w:t>E. 2</w:t>
      </w:r>
    </w:p>
    <w:p>
      <w:r>
        <w:t>Ergänzend ist festzuhalten, dass die Beschwerde auch materiell hinsichtlich des Nichteintretens der Vorinstanz unbegründet wäre. Gemäss Art. 354 Abs. 1 StPO kann die beschuldigte Person gegen einen Strafbefehl innert zehn Tagen nach seiner Zustellung schriftlich Einsprache erheben. Ohne gültige Einsprache wird der Strafbefehl zum rechtskräftigen Urteil (Art. 354 Abs. 3 StPO). Zur Fristberechnung bzw. zur direkten Zustellung behördlicher Akte nach Frankreich per eingeschriebener Post (statt per Rechtshilfe) gilt das unter E 1.5.1 bzw. E. 1.5.2 hiervor Gesagte. Der vom 26. August 2021 datierte Strafbefehl wurde gemäss der Sendungsverfolgung der Schweizerischen Post nachweislich am 31. August 2021 zugestellt (act. 4, S. 37). Die Einsprachefrist gegen den Strafbefehl endete dementsprechend am 10. September 2021. Die vom 11. September 2021  also bereitsnachAblauf der Einsprachefrist  datierte sinngemässe Einsprache des Beschwerdeführers wurde jedoch erst am 21. September 2021 im internationalen Logistikzentrum der deutschen Post zur Weiterbeförderung in die Schweiz übergeben (act. 4 S. 5-11). Abgesehen von der offenbar bereits verspäteten Postaufgabe bei der französischen Post, lag die lange Übermittlungsdauer in die Schweiz darin begründet, dass der Beschwerdeführer unter die Adresse der Staatsanwaltschaft in Basel irrtümlicherweise die Landesangabe Deutschland («Allemagne») gemacht hatte (act. 4, S. 9). Vor dem Hintergrund, dass die Einsprache vom 11. September 2021 datiert und der Strafbefehl als Einschreiben nachweislich am 31. August 2021 zugestellt wurde, vermag das Vorbringen des Beschwerdeführers in seiner Beschwerde, er habe den Strafbefehl umzugsbedingt erst am 19. September 2021 erhalten (act. 2), nicht zu überzeugen und ist somit als reine Schutzbehauptung zu qualifizieren. Dies umso mehr, als die Nichteintretensverfügung des Einzelgerichts in Strafsachen zunächst infolge des Wohnsitzwechsels des Beschwerdeführers als unzustellbar zurück an den Absender ging und erst an die neue Adresse des Beschwerdeführers erfolgreich zugestellt werden konnte (act. 1, act. 3 sowie act. 4, S. 41-55; siehe auch die Ausführungen zum Sachverhalt oben). Es ist nicht davon auszugehen, dass der Strafbefehl demgegenüber an eine unberechtigte bzw. nicht im gleichen Haushalt mit dem Beschwerdeführer lebende Person (etwa den Vermieter) zugestellt wurde.</w:t>
      </w:r>
    </w:p>
    <w:p>
      <w:r>
        <w:t>Ohnehin musste der Beschwerdeführer nach  unbestrittener  Zustellung der Übertretungsanzeige vom 17. September 2020 (act. 4, S. 32 f.) sowie der Mahnung vom 20. Mai 2021 (act. 4, S. 34), damit rechnen, dass ihm bei weiterem Nichtbezahlen der Ordnungsbusse innerhalb der nächsten Monate  konkret am 31. August 2021  ein weiterer behördlicher Akt zugestellt werden würde. Nach bundesgerichtlicher Rechtsprechung verpflichtet der Grundsatz von Treu und Glauben die Parteien nämlich, unter anderem dafür Sorge zu tragen, dass ihnen Akte der Behörden im jeweiligen Verfahren zugestellt werden können (BGer 6B_940/2013 vom 31. März 2014 E. 2.2.1 mit weiteren Hinweisen; AGE BES.2017.9 vom 20. März 2017 E. 1.2, BES.2017.7 vom 1. März 2017 E. 2.2). Diese prozessuale Pflicht entsteht mit der Begründung eines Verfahrensverhältnisses und gilt während eines hängigen Verfahrens so lange, als mit einer gewissen Wahrscheinlichkeit mit der Zustellung eines behördlichen Aktes gerechnet werden muss (BGE 138 III 225 E. 3.1 S. 227 mit weiteren Hinweisen). Der Zeitraum zwischen Zustellung der Mahnung und des Strafbefehls von rund drei Monaten liegt innerhalb der zulässigen Aufmerksamkeitsspanne gemäss bundesgerichtlicher Rechtsprechung, die sich  je nachdem  zwischen sechs und neun Monaten bewegt. Diesbezüglich besteht kein Zweifel, dass der Beschwerdeführer mit weiterer Korrespondenz in dieser Angelegenheit rechnen und die Zustellung entsprechender behördlicher Akte sicherstellen musste.</w:t>
      </w:r>
    </w:p>
    <w:p>
      <w:r>
        <w:t>Das Einzelgericht in Strafsachen ist somit zu Recht auf die verspätete Einsprache nicht eingetreten.</w:t>
      </w:r>
    </w:p>
    <w:p>
      <w:r>
        <w:rPr>
          <w:b/>
        </w:rPr>
        <w:t>E. 3</w:t>
      </w:r>
    </w:p>
    <w:p>
      <w:r>
        <w:t>Zusammenfassend ergibt sich, dass auf die Beschwerde nicht einzutreten ist. Die Kosten des Rechtsmittelverfahrens tragen die Parteien nach Massgabe ihres Obsiegens oder Unterliegens. Als unterliegend gilt auch die Partei, auf deren Rechtsmittel nicht eingetreten wird (Art. 428 Abs. 1 StPO). Dem Ausgang des Beschwerdeverfahrens folgend, hätte grundsätzlich die Beschwerdeführerin dessen Kosten zu tragen. Vorliegend werden indessen umständehalber keine Kosten erhoben (vgl. § 40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