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BES.2021.112 vom 13. Oktober 2021</w:t>
      </w:r>
    </w:p>
    <w:p>
      <w:r>
        <w:t>BS Appellationsgericht, 2021-10-13, DE</w:t>
      </w:r>
    </w:p>
    <w:p>
      <w:r>
        <w:rPr>
          <w:b/>
        </w:rPr>
        <w:t xml:space="preserve">Quelle: </w:t>
      </w:r>
      <w:r>
        <w:t>https://mcp.opencaselaw.ch/entscheid/bs_appellationsgericht_BES.2021.112</w:t>
      </w:r>
    </w:p>
    <w:p>
      <w:r>
        <w:t>FR: BS_APPELLATIONSGERICHT BES.2021.112 du 13 octobre 2021</w:t>
      </w:r>
    </w:p>
    <w:p>
      <w:r>
        <w:t>IT: BS_APPELLATIONSGERICHT BES.2021.112 del 13 ottobre 2021</w:t>
      </w:r>
    </w:p>
    <w:p>
      <w:pPr>
        <w:pStyle w:val="Heading2"/>
      </w:pPr>
      <w:r>
        <w:t>Erwägungen</w:t>
      </w:r>
    </w:p>
    <w:p>
      <w:r>
        <w:rPr>
          <w:b/>
        </w:rPr>
        <w:t>E. 1</w:t>
      </w:r>
    </w:p>
    <w:p>
      <w:r>
        <w:t>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Rechtsverzögerungen.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 Beschwerden wegen Rechtsverweigerung oder Rechtsverzögerung sind an keine Rechtsmittelfrist gebunden (Art. 396 Abs. 2 StPO;Guidon, Basler Kommentar StPO, 2. Auflage 2014, Art. 396 N 17 f.). Auf die vorliegende Beschwerde ist daher einzutreten. Sie wird im schriftlichen Verfahren behandelt (Art. 397 Abs. 1 StPO).</w:t>
      </w:r>
    </w:p>
    <w:p>
      <w:r>
        <w:rPr>
          <w:b/>
        </w:rPr>
        <w:t>E. 2</w:t>
      </w:r>
    </w:p>
    <w:p>
      <w:r>
        <w:t>2.1Die Beschwerdeführerin macht geltend, die Staatsanwaltschaft habe auf ihre am 8. Januar 2021 eingereichte Strafanzeige in keiner Art und Weise reagiert. So sei bis dato nicht einmal eine Empfangsbestätigung eingegangen oder eine Verfahrensnummer bekannt gegeben worden. Auch drei weitere Schreiben, in denen sich ihr Rechtsvertreter nach dem Stand des Verfahrens erkundigt und die Staatsanwaltschaft zur Vornahme von Ermittlungshandlungen aufgefordert habe, seien unbeantwortet geblieben (Beschwerde Ziff. 5). Demgegenüber sei eine von B____ am 6. Januar 2020 gegen die Beschwerdeführerin erstattete Strafanzeige unverzüglich behandelt und ein Verfahren (VT.2020.437) eröffnet worden (Beschwerde Ziff. 6). Die Untätigkeit der Staatsanwaltschaft stelle eine formelle Rechtsverweigerung bzw. Rechtsverzögerung dar (Beschwerde Ziff. 7).</w:t>
      </w:r>
    </w:p>
    <w:p>
      <w:r>
        <w:t>2.2Zur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sind auch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(BGer 1B_549/2012 vom 12. November 2012 E. 2.3; BGE 130 I 269 E. 2.3 und 3.1 S. 272 f.). Anspruch auf Verfahrensbeschleunigung haben primär beschuldigte Personen, in etwas geringerem Mass jedoch auch die übrigen Verfahrensbeteiligten wie die Privatklägerschaft (vgl. Botschaft vom 21. Dezember 2005 zur Vereinheitlichung des Strafprozessrechts, BBl 2006 1130 Ziff. 2.1.2;Schmid, Schweizerische Strafprozessordnung, Praxiskommentar,</w:t>
      </w:r>
    </w:p>
    <w:p>
      <w:r>
        <w:rPr>
          <w:b/>
        </w:rPr>
        <w:t>E. 3</w:t>
      </w:r>
    </w:p>
    <w:p>
      <w:r>
        <w:t>3.1Aus dem Gesagten folgt, dass sich die Rüge der Rechtsverzögerung als begründet erweist. Die Beschwerde ist gutzuheissen und die Staatsanwaltschaft anzuweisen, die Strafsache unverzüglich an die Hand zu nehmen und die notwendigen Ermittlungshandlungen vorzunehmen, soweit dies nicht bereits geschehen ist.</w:t>
      </w:r>
    </w:p>
    <w:p>
      <w:r>
        <w:t>3.2Bei diesem Ausgang des Verfahrens werden die ordentlichen Kosten des Beschwerdeverfahrens auf die Staatskasse genommen und hat die anwaltlich vertretene Beschwerdeführerin als Privatklägerin Anspruch auf eine Parteientschädigung (Art. 436 Abs. 1 in Verbindung mit Art. 433 Abs. 1 lit. a StPO). Der mit Beschwerde vom 7. September 2021 gestellte Antrag auf unentgeltliche Rechtspflege (Beschwerde Ziff. 8) wurde aufgrund der eingereichten Belege und der entsprechend nachgewiesenen finanziellen Verhältnisse der Beschwerdeführerin mit Verfügung vom 13. Oktober 2021 bewilligt. Der mit Honorarnote des Rechtsvertreters vom 23. August 2021 geltend gemachte Aufwand von 9,2 Stunden erscheint mit Blick auf den lediglich einfachen Schriftenwechsel zwar sehr hoch, ist aber gerade noch angemessen. Der Stundenansatz für die unentgeltliche Rechtspflege beträgt praxisgemäss CHF 200.. Sodann sind in Bezug auf die geltend gemachten Auslagen die Kopiaturen praxisgemäss lediglich zu CHF 0.25 pro Stück zu erstatten, was einen Betrag von CHF 24.50 ergibt und zu Auslagen von insgesamt CHF 52.50 führt. Alles in allem errechnet sich ein Honorar von CHF 1840., zuzüglich Auslagen von CHF 52.50 sowie 7,7 % Mehrwertsteuer von CHF 145.70 und damit gesamthaft eine Parteientschädigung in Höhe von CHF 2'038.20.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