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BES.2020.75 vom 10. September 2019</w:t>
      </w:r>
    </w:p>
    <w:p>
      <w:r>
        <w:t>BS Appellationsgericht, 2019-09-10, DE</w:t>
      </w:r>
    </w:p>
    <w:p>
      <w:r>
        <w:rPr>
          <w:b/>
        </w:rPr>
        <w:t xml:space="preserve">Quelle: </w:t>
      </w:r>
      <w:r>
        <w:t>https://mcp.opencaselaw.ch/entscheid/bs_appellationsgericht_BES.2020.75</w:t>
      </w:r>
    </w:p>
    <w:p>
      <w:r>
        <w:t>FR: BS_APPELLATIONSGERICHT BES.2020.75 du 10 septembre 2019</w:t>
      </w:r>
    </w:p>
    <w:p>
      <w:r>
        <w:t>IT: BS_APPELLATIONSGERICHT BES.2020.75 del 10 settembre 2019</w:t>
      </w:r>
    </w:p>
    <w:p>
      <w:pPr>
        <w:pStyle w:val="Heading2"/>
      </w:pPr>
      <w:r>
        <w:t>Erwägungen</w:t>
      </w:r>
    </w:p>
    <w:p>
      <w:r>
        <w:rPr>
          <w:b/>
        </w:rPr>
        <w:t>E. 1</w:t>
      </w:r>
    </w:p>
    <w:p>
      <w:r>
        <w:t>Gegen Einstellungsverfügungen der Staatsanwaltschaft kann innert zehn Tagen Beschwerde erhoben werden (Art. 322 Abs. 2 und 393 Abs. 1 lit. a. in Verbindung mit Art. 396 Abs. 1 lit. a der Strafprozessordnung [StPO, SR 312]). Zu deren Beurteilung ist das Appellationsgericht grundsätzlich als Einzelgericht zuständig (§§ 88 Abs. 1 und 93 Abs. 1 Ziff. 1 des Gerichtsorganisationsgesetzes [GOG, SG 154.100]). Die Kognition des Beschwerdegerichts ist frei und nicht auf Willkür beschränkt (Art. 393 Abs. 2 StPO). Der Beschwerdeführer hat ein rechtlich geschütztes Interesse an der Aufhebung oder Änderung der zur Diskussion stehenden Einstellungsverfügung (Art. 382 Abs. 1 StPO), sodass auf die frist- und formgerecht erhobene Beschwerde einzutreten ist. Der Entscheid ergeht im schriftlichen Verfahren (Art. 397 Abs. 1 StPO).</w:t>
      </w:r>
    </w:p>
    <w:p>
      <w:r>
        <w:rPr>
          <w:b/>
        </w:rPr>
        <w:t>E. 2</w:t>
      </w:r>
    </w:p>
    <w:p>
      <w:r>
        <w:t>2.1Gemäss Art. 391 Abs. 1 StPO ist die Rechtsmittelinstanz bei ihrem Entscheid nicht an (lit. a) die Begründung der Parteien sowie (lit. b)  mit Ausnahme der Zivilklagen  die Anträge der Parteien gebunden. Es gilt insoweit in tatsächlicher Hinsicht der Grundsatz der materiellen Wahrheit sowie in rechtlicher Hinsicht der Grundsatz «iura novit curia». Ein Rechtsmittel kann somit aus anderen als den vom Rechtsmittelkläger vorgebrachten Gründen gutgeheissen oder mit einer von den vorinstanzlichen Erwägungen abweichenden Begründung abgewiesen werden (Lieber, in: Donatsch et al. [Hrsg.], Kommentar zu Schweizerischen Strafprozessordnung, 3. Auflage, Zürich 2020, Art. 391 N 1). Die Einschränkung nach Art. 404 Abs. 1 StPO, wonach das Gericht das erstinstanzliche Urteil nur in den angefochtenen Punkten überprüft, gilt nur im Berufungs-, nicht jedoch im Beschwerdeverfahren (vgl. BGE 139 IV 282 E. 2.3.1 S. 284;Schmid/Jositsch, Handbuch des schweizerischen Strafprozessrechts, 3. Auflage, Zürich 2017 [nachfolgendSchmid/Jositsch, Handbuch], N 1488). Die Tatsache, dass die Rechtsmittelinstanz nicht an die Parteianträge gebunden ist, steht nicht im Widerspruch zur Möglichkeit, das Rechtsmittel  im Sinne von Art. 385 Abs. 1 lit. a StPO  auf einzelne Punkte zu beschränken (Lieber, a.a.O., Art. 391 N 4, mit Hinweis), und sie dispensiert die Parteien nicht von der Begründungspflicht gemäss Art. 385 StPO (Ziegler/Keller,in: Basler Kommentar, 2. Auflage 2014, Art. 391 StPO N 1). Folglich kann die Rechtsmittelinstanz ihrem Entscheid andere sachverhaltsmässige und rechtliche Überlegungen zu Grunde legen und damit in den Schlussfolgerungen und im Entscheid nicht nur vom vorinstanzlichen Entscheid, sondern auch von den Anträgen der Parteien abweichen (Schmid/Jositsch, Handbuch, a.a.O., N 1487). In der Lehre wird angenommen, dass die Rechtsmittelinstanz im Rahmen von Art. 391 Abs. 1 lit. b StPO nicht bloss befugt, sondern gegebenenfalls unter Berücksichtigung der Untersuchungsmaxime verpflichtet ist, über die Parteianträge hinauszugehen (Lieber, a.a.O., Art. 391 N 4, mit Hinweis). Art. 391 Abs. 1 StPO wird im Beschwerdeverfahren lediglich durch das in Art. 391 Abs. 2 StPO verankerte Verbot der reformatio in peius eingeschränkt (vgl. zum GanzenSchmid/Jositsch, Handbuch, a.a.O., N 1489 ff.). Weitere Einschränkungen von Art. 391 Abs. 1 StPO, namentlich die Bindung der Rechtsmittelinstanz an die für die Vorinstanz massgebende Anklageschrift und an Art. 344 StPO (vgl.Riklin, StPO Kommentar, 2. Auflage, Zürich 2014, Art. 391 N 1), sind für das vorliegende Beschwerdeverfahren nicht von Relevanz.</w:t>
      </w:r>
    </w:p>
    <w:p>
      <w:r>
        <w:t>2.2Der Beschwerdeführer beantragt, es seien die Ziffern 2, 3, 4 und 7 der Einstellungsverfügung vom 5. März 2020 aufzuheben. Es wird damit die Auferlegung der Verfahrenskosten an den Beschwerdeführer sowie die Verrechnung des beschlagnahmten Betrags von CHF 130. mit den Verfahrenskosten angefochten. Wie aber nachfolgend aufzuzeigen ist, ist bereits der Umstand, dass durch die Staatsanwaltschaft überhaupt eine Einstellungsverfügung erlassen worden ist, rechtlich nicht haltbar.</w:t>
      </w:r>
    </w:p>
    <w:p>
      <w:r>
        <w:rPr>
          <w:b/>
        </w:rPr>
        <w:t>E. 3</w:t>
      </w:r>
    </w:p>
    <w:p>
      <w:r>
        <w:t>3.1Gemäss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In Beachtung des ungeschriebenen, sich aus dem Legalitätsprinzip (Art.</w:t>
      </w:r>
    </w:p>
    <w:p>
      <w:r>
        <w:rPr>
          <w:b/>
        </w:rPr>
        <w:t>E. 5</w:t>
      </w:r>
    </w:p>
    <w:p>
      <w:r>
        <w:t>5.1Mit Rechtsbegehren 3 hatte der Beschwerdeführer beantragt, es sei die Ziffer 7 der Einstellungsverfügung aufzuheben und dem Beschwerdeführer eine Genugtuung von CHF 1'000. sowie eine Überhaftentschädigung von CHF 3'200. zuzusprechen. Der Beschwerdeführer habe sich 146 Tage im Freiheitsentzug befunden. Da mit dem Strafbefehl vom 5. März 2020 eine Freiheitsstrafe von 130 Tagen ausgesprochen worden sei, bestehe eine Überhaft von 16 Tagen, welche gemäss Art. 431 Abs. 2 StPO einen Anspruch auf Entschädigung und Genugtuung begründe (Beschwerde, act. 2, Rz. 19 f.).</w:t>
      </w:r>
    </w:p>
    <w:p>
      <w:r>
        <w:t>5.2Mit dem Strafbefehl vom 5. März 2020 wurde der Beschwerdeführer zu einer Freiheitsstrafe von 130 Tagen verurteilt, wovon die gesamte Dauer bereits durch den Freiheitsentzug getilgt ist (Dispositiv Ziff. 2). Mit Einsprache vom 20. März 2020 gegen den Strafbefehl beantragte der Beschwerdeführer, es sei der Strafbefehl dahingehend zu ergänzen, dass dem Beschuldigten eine Entschädigung von CHF 3'200. sowie eine Genugtuung von CHF 1'000. zugesprochen wird (Rechtsbegehren 1, act. 3, Beilage 4).</w:t>
      </w:r>
    </w:p>
    <w:p>
      <w:r>
        <w:t>Das Einzelgericht in Strafsachen verfügte am 14. September 2020, dem Beschwerdeführer werde für die nach Anrechnung an die Freiheitsstrafe verbleibende Überhaft von 16 Tagen gemäss Art. 431 Abs. 2 StPO eine Haftentschädigung von CHF 1'600. aus der Gerichtskasse zugesprochen. Zur Begründung wurde angeführt, dass das Bundesgericht bei kürzeren Freiheitsentzügen CHF 200. pro Tag als angemessene Genugtuung erachte, sofern nicht aussergewöhnliche Umstände vorlägen, die eine höhere oder geringere Entschädigung zu rechtfertigen vermöchten. Bei längerer Untersuchungshaft von mehreren Monaten sei der Tagessatz in der Regel zu senken, da die erste Haftzeit besonders erschwerend ins Gewicht falle. Vorliegend werde nicht geltend gemacht, der Beurteilte habe durch die Inhaftierung eine Arbeitsstelle verloren. Der Beurteilte sei marokkanischer Staatsbürger mit Ausländerausweis N und in einer Asylunterkunft untergebracht. Eine besonders schwere subjektive Betroffenheit sei nicht erkennbar, weshalb unter Berücksichtigung aller Umstände eine Genugtuung von CHF 100. pro Tag, bzw. von insgesamt CHF 1'600. angemessen sei. Die Mehrforderungen wurden von der Strafgerichtspräsidentin abgewiesen.</w:t>
      </w:r>
    </w:p>
    <w:p>
      <w:r>
        <w:t>Diese Verfügung des Einzelgerichts in Strafsachen vom 14. September 2020 ist in Rechtskraft erwachsen. In vorliegendem Verfahren kann deshalb nicht mehr über die darüberhinausgehenden Anträge des Beschwerdeführers entschieden werden. Wenn sich der Beschwerdeführer mit der im Einspracheverfahren zugesprochenen Entschädigung nicht zufriedengestellt sah, so hätte er gegen die betreffende Verfügung der Strafgerichtspräsidentin ein Rechtsmittel ergreifen müssen. Auf die Beschwerde kann folglich betreffend Rechtsbegehren 3 nicht eingetreten werden.</w:t>
      </w:r>
    </w:p>
    <w:p>
      <w:r>
        <w:rPr>
          <w:b/>
        </w:rPr>
        <w:t>E. 6</w:t>
      </w:r>
    </w:p>
    <w:p>
      <w:r>
        <w:t>Zusammenfassend ergibt sich, dass auf die Beschwerde betreffend Rechtsbegehren 3 nicht einzutreten, die Beschwerde im Übrigen jedoch gutzuheissen ist. Die angefochtene Einstellungsverfügung ist aufzuheben. Es bleibt abschliessend über die Kosten des Beschwerdeverfahrens zu befinden.</w:t>
      </w:r>
    </w:p>
    <w:p>
      <w:r>
        <w:t>6.1Da der Beschwerdeführer grösstenteils obsiegt, sind für das Rechtsmittelverfahren keine Kosten zu erheben (Art. 428 Abs. 1 StPO).</w:t>
      </w:r>
    </w:p>
    <w:p>
      <w:r>
        <w:rPr>
          <w:b/>
        </w:rPr>
        <w:t>E. 6.2</w:t>
      </w:r>
    </w:p>
    <w:p>
      <w:r>
        <w:t>6.2.1Dem Beschwerdeführer ist antragsgemäss die amtliche Verteidigung auch für das vorliegende Beschwerdeverfahren zu bewilligen. Advokat [...] reichte mit Schreiben vom 24. November 2020 eine Honorarnote für die Aufwendungen im Beschwerdeverfahren ein. Der Vertreter des Beschwerdeführers macht einen Zeitaufwand von 15 Stunden und 25 Minuten sowie Barauslagen von CHF 24.40 geltend. Das Honorar für amtliche Mandate gemäss der Strafprozessordnung ist unabhängig vom Ausgang des Verfahrens zu beurteilen. Der Umstand, dass der Beschwerdeführer mit seiner Beschwerde obsiegt, hat somit keinen Einfluss auf die Bemessung des seinem Verteidiger zu entrichtenden Honorars (AGE BES.2016.49 vom 23. Mai 2016 E. 4, SB.2013.121 vom 31. März 2014 E. 4.2, je mit Hinweisen). Damit ist der Stundenansatz von CHF 200. anwendbar (vgl. statt vieler AGE BES.2019.17 vom 28. März 2019 E. 3.2).</w:t>
      </w:r>
    </w:p>
    <w:p>
      <w:r>
        <w:t>Die Aufwendungen des amtlichen Verteidigers belaufen sich auf eine Stunde und 40 Minuten zum praxisgemässen Stundenansatz von CHF 200.. Die übrigen Arbeiten mit einem Aufwand über 13 Stunden und 45 Minuten wurden durch eine juristische Mitarbeiterin zu einem reduzierten Stundenansatz von CHF 133. erledigt. Dies ergibt insgesamt ein Honorar von CHF 2'140.10, welches für den vorliegenden Fall angemessen erscheint.</w:t>
      </w:r>
    </w:p>
    <w:p>
      <w:r>
        <w:t>Auslagen macht der amtliche Verteidiger in der Höhe von CHF 24.40 geltend (Porto CHF 15.90, 17 Kopien zu CHF 0.50 [= CHF 8.50]). Kopien sind indessen zum praxisgemässen Ansatz von CHF 0.25 pro Kopie zu entschädigen, weshalb die Auslagen diesbezüglich zu reduzieren sind. Die Auslagen werden folglich mit CHF 20.15 (Porto CHF 15.90, 17 Kopien zu CHF 0.25 [=CHF 4.25]) zuzüglich Mehrwertsteuer entschädigt.</w:t>
      </w:r>
    </w:p>
    <w:p>
      <w:r>
        <w:t>6.2.2Wie sich aus vorgehenden Erwägungen ergibt, ist die angefochtene Einstellungsverfügung nicht nur hinsichtlich des Kostenentscheids fehlerhaft, sondern sie erweist sich aufgrund des gleichzeitig ergangenen Strafbefehls betreffend den gleichen Lebenssachverhalt insgesamt als unrichtig. Der Aufwand für das vorliegende Beschwerdeverfahren ist folglich von der Staatsanwaltschaft zu vertreten. Es rechtfertigt sich deshalb, die Kosten für die amtliche Verteidigung der Staatsanwaltschaft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