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BES.2020.182 vom 14. Oktober 2020</w:t>
      </w:r>
    </w:p>
    <w:p>
      <w:r>
        <w:t>BS Appellationsgericht, 2020-10-14, DE</w:t>
      </w:r>
    </w:p>
    <w:p>
      <w:r>
        <w:rPr>
          <w:b/>
        </w:rPr>
        <w:t xml:space="preserve">Quelle: </w:t>
      </w:r>
      <w:r>
        <w:t>https://mcp.opencaselaw.ch/entscheid/bs_appellationsgericht_BES.2020.182</w:t>
      </w:r>
    </w:p>
    <w:p>
      <w:r>
        <w:t>FR: BS_APPELLATIONSGERICHT BES.2020.182 du 14 octobre 2020</w:t>
      </w:r>
    </w:p>
    <w:p>
      <w:r>
        <w:t>IT: BS_APPELLATIONSGERICHT BES.2020.182 del 14 ottobre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BES.2019.253 vom 22. Juni 2020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mittellos ist oder die Höhe der Kosten zusammen mit ihren übrigen Schulden ihr finanzielles Weiterkommen ernsthaft gefährden kann (Domeisen, a.a.O., Art. 425 StPO N 4).</w:t>
      </w:r>
    </w:p>
    <w:p>
      <w:r>
        <w:t>2.2Wie sich aus den im Erlassverfahren eingereichten Unterlagen ergibt, wird die Gesuchstellerin aktuell von der Sozialhilfe wirtschaftlich unterstützt. Aus der Abrechnungsverfügung der Sozialhilfe für den Monat Oktober erhellt, dass die alleinerziehende Mutter zweier Kinder den Lebensunterhalt ihrer Familie (abzüglich Miete und Krankenkassenprämien) gegenwärtig mit monatlich CHF 1'136.65 bestreiten muss. Die mit Entscheid vom 14. Oktober 2020 festgesetzte Gebühr von CHF 800. würde demgemäss beinahe den gesamten von der Sozialhilfe ausbezahlten Betrag ausmachen. Unter diesen Umständen erscheint eine Kostenauflage im Sinne des vorstehend Ausgeführten als unbillig. Um das finanzielle Fortkommen der Gesuchstellerin nicht zu gefährden, erscheint es gerechtfertigt, ihr die gesamten Verfahrenskosten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