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BES.2020.179 vom 24. August 2020</w:t>
      </w:r>
    </w:p>
    <w:p>
      <w:r>
        <w:t>BS Appellationsgericht, 2020-08-24, DE</w:t>
      </w:r>
    </w:p>
    <w:p>
      <w:r>
        <w:rPr>
          <w:b/>
        </w:rPr>
        <w:t xml:space="preserve">Quelle: </w:t>
      </w:r>
      <w:r>
        <w:t>https://mcp.opencaselaw.ch/entscheid/bs_appellationsgericht_BES.2020.179</w:t>
      </w:r>
    </w:p>
    <w:p>
      <w:r>
        <w:t>FR: BS_APPELLATIONSGERICHT BES.2020.179 du 24 août 2020</w:t>
      </w:r>
    </w:p>
    <w:p>
      <w:r>
        <w:t>IT: BS_APPELLATIONSGERICHT BES.2020.179 del 24 agosto 2020</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wie im vorliegenden Fall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Dabei soll es bei einer knappen Beurteilung der Aktenlage sein Bewenden haben. Auf dem Weg über den Kostenentscheid soll nicht ein materielles Urteil gefällt und unter Umständen der Entscheid in einer heiklen Rechtsfrage präjudiziert werden (vgl. AGE BES.2019.211 vom 17. Dezember 2019 E. 2.1, HB.2019.31 vom 28. Mai 2019 E. 2.1, HB.2015.13 vom 1. April 2015 E. 2; BGer 6B.109/2010 vom 22. Februar 2011 E. 4.1; Botschaft zur Vereinheitlichung des Strafprozessrechts, in: BBl 2006 S. 1328;Domeisen, in: Basler Kommentar, 2. Auflage 2014, Art. 428 StPO N 14; jeweils mit weiteren Hinweisen). Lässt sich der mutmassliche Verfahrensausgang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(vgl. AGE BES.2019.14/2019.66 vom 3. Oktober 2019 E. 2.1 und 2.2.2.1, BES.2018.22 vom 5. Dezember 2018 E. 2.1).</w:t>
      </w:r>
    </w:p>
    <w:p>
      <w:r>
        <w:t>2.2Die Staatsanwaltschaft begründete ihre Nichtanhandnahmeverfügung unter Hinweis auf die Lehre und Rechtsprechung im Wesentlichen damit, dass der Beschwerdeführer mit der Berichterstattung nicht in seiner Ehre als Privatmensch, sondern als Geschäftsmann betroffen werde. Ehrverletzungen in diesem Rahmen seien nicht strafbar. Ausserdem sei bei der Beurteilung, ob eine Ehrverletzung vorliege, nicht auf das subjektive Empfinden, sondern auf die unvoreingenommene Rezeption durch einen unbefangenen Adressaten mit durchschnittlichem Wissen und gesunder Urteilskraft abzustellen. Im inkriminierten Zeitungsartikel werde der Beschwerdeführer durchgängig und unter vollkommener «Aussenvorlassung» seines Privatlebens, seiner Biographie u.ä. ausschliesslich in seiner Funktion als Berufsmann, Unternehmer und Firmeninhaber oder Verantwortlicher erwähnt, wobei die von ihm in Frage gestellten Passagen sich gar nicht auf ihn selbst, sondern grösstenteils auf jene Firmen, mit denen seine Firmen in Geschäftskontakten stünden, bezögen. Auch die Bezeichnung «fragil» im Zusammenhang mit der Nennung des Medienunternehmens des Beschwerdeführers müsse nicht zwingend negativ konnotiert sein. Auch bei der in einer E-Mail des Chefredaktors der Zentralredaktion der [...] vom 26. Juli 2020 wiedergegebene Stellungnahme des beanzeigten Journalisten («Ich kann Ihnen sagen, dass ich immer wieder von durchaus honorablen Personen aus der Region angesprochen werde, die sich ärgern, dass ich nicht härter gegen die [...] recherchiere. Ich bin dann in der Situation, dass ich erkläre, dass ich das [...]-Geschäft zwar für schlitzohrig halte, aber nichts Justiziabler sehe») sei nicht erkennbar, wo darin eine die individuelle, persönliche Ehre des Beschwerdeführers angreifende Verletzung/Beschimpfung liegen sollte. Im Zusammenhang erhelle, dass der Verfasser des Textes das [...]-Geschäft für «clever», «tricky», «gerissen» halte, was zwingend auch einen gewissen Respekt, wenn nicht gar eine anerkennende Bewunderung beinhalte, zumal da gleich anschliessend die Aussage nachgeschoben werde, dass es sich keineswegs um illegale Machenschaften handle. Damit scheide der Tatbestand der üblen Nachrede bzw. der Beschimpfung bereits in objektiver Hinsicht aus. Über den Tatbestand der Verleumdung erübrigten sich daher weitere Ausführungen.</w:t>
      </w:r>
    </w:p>
    <w:p>
      <w:r>
        <w:t>2.3Der Beschwerdeführer hielt dem entgegen, mit der Berichterstattung werde er nicht nur als Geschäftsmann, sondern auch als Privatmann unehrenhaft dargestellt. So werde etwa seine Bonität angezweifelt, was seinen Ruf verletze, ein ehrbarer Mensch zu sein, allenfalls «mit Wechselwirkung» auf seine berufliche Stellung. Auch der Begriff «Schlitzohrigkeit» sei entgegen der diesbezüglichen Ausführungen der Staatsanwaltschaft sehr negativ zu werten. Der Artikel «im Gesamtpaket» stelle ihn als Mensch unehrenhaft dar. In dubio pro duriore müsse die Staatsanwaltschaft das Strafverfahren gegen den Journalisten B____ eröffnen.</w:t>
      </w:r>
    </w:p>
    <w:p>
      <w:r>
        <w:t>2.4Gemäss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610, vgl. auch AGE BES 2015.77 vom 14. März 2016 E 2.1).</w:t>
      </w:r>
    </w:p>
    <w:p>
      <w:r>
        <w:rPr>
          <w:b/>
        </w:rPr>
        <w:t>E. 2.5</w:t>
      </w:r>
    </w:p>
    <w:p>
      <w:r>
        <w:t>2.5.1Der zur Debatte stehende Artikel hinterfragt in kritischer Art und Weise, wie bzw. mit welchen Mitteln der Beschwerdeführer die Finanzierung seiner Unternehmen bewerkstelligt. Es wird ausgeführt, er sei «auf der steten Suche nach Geldgebern». Die «[...]» habe nun den möglichen Einstieg des britischen Vermögensverwalters «[...]» beim [...] publik gemacht. Auch habe sich der deutsche E-Commerce Anbieter «[...]» bei der Firma [...] eingebracht. Anschliessend folgen  durchaus kritische  Ausführungen zu dieser Firma.</w:t>
      </w:r>
    </w:p>
    <w:p>
      <w:r>
        <w:t>2.5.2Insgesamt ergibt eine Lektüre des beanstandeten Artikels, dass dieser ausschliesslich das Gebaren des Beschwerdeführers als Geschäftsmann, Unternehmer und Firmeninhaber zum Inhalt hat. Wie die Staatsanwaltschaft zutreffend festhält, geht es zu keinem Zeitpunkt um A____ als Privatperson. Dies gilt auch für die in der E-Mail behauptete «Schlitzohrigkeit» des Geschäftsgebarens, welche noch dazu im Kontext nicht sehr negativ zu werten ist. Die Staatsanwaltschaft hat zutreffend erwogen, dass die berufliche Ehre vom Schutzbereich des Art. 173 StGB nicht erfasst wird. Die blosse Herabsetzung einer Person als Geschäfts- oder Berufsmann ist nicht strafbar (vgl.Trechsel/Lieber,in: Trechsel/Pieth [Hrsg.], Praxiskommentar StGB, 3. Auflage2018,N 5 vor Art. 173). Gemäss BGer 6B_257/2016 E. 1.4.3 verhält es sich anders, wenn nicht nur das berufliche Ansehen, sondern auch die Geltung als ehrbarer Mensch beeinträchtigt werden. Dies macht der Beschwerdeführer vorliegend geltend, wenn er z.B. ausführt, die Tatsache, dass seine Bonität in Frage gestellt werde, betreffe auch seine Ehre als Privater. Die Beispiele, welche das Bundesgericht im genannten Entscheid anführte, zeigen aber, dass dieser Argumentation des Beschwerdeführers nicht gefolgt werden kann. So nennt das Bundesgericht als Ausnahmefälle, in denen sowohl die berufliche als auch die private Ehre tangiert wird, etwa den Fall, dass gesagt wird, ein Apotheker «sei unzuverlässig undgebe den Leuten, was er wolle», oder ein Rechtsanwalt «bringe einen Prozess nur deshalb in Gang, weil er einenpersönlichen Nutzendaraus ziehe». In diesen Fällen sind die beruflichen Vorwürfe untrennbar mit moralischen Wertungen der Person verknüpft. Auch die weitere Kasuistik beiTrechsel/Lieber(a.a.O; z.B. wenn einem Lehrer vorgeworfen wird, er quäle Kinder) zeigt dies klar. Im vorliegenden Fall ist die persönliche Ehre des Beschwerdeführers aber nicht in vergleichbarem Mass tangiert. Dass etwa gesagt wird, der Beschwerdeführer sei ständig auf der Suche nach Geldgebern, ist mit den genannten Fällen nicht vergleichbar. Auch lässt sich aus der blossen Tatsache, dass er mit «A____» (statt als «Geschäftsmann A____») bezeichnet wird, entgegen der Behauptung in der Beschwerde nicht seine Betroffenheit als Privatmann ableiten.</w:t>
      </w:r>
    </w:p>
    <w:p>
      <w:r>
        <w:t>Der vom Beschwerdeführer angeführte BGE 119 IV 44, aus dem dieser ableiten will, dass der Eindruck, es stehe schlecht um seine Bonität, auch einen persönlichen Schatten auf die Geltung als ehrbarer Mensch werfe (Beschwerde Rz. 21), führt zu keiner anderen Betrachtungsweise. Im genannten Bundesgerichtsentscheid wurde der Beschwerdeführer als Präsident des Comités mit einem Defizit der «Fête des vignerons» in Zusammenhang gebracht, wobei von einem «unerklärlichen» oder «seltsamen» Loch in den Finanzen gesprochen und festgehalten wird, dass der Beschwerdeführer «nicht vergessen habe, sich selbst zu bezahlen». Weiter wurde erwähnt, dass juristische Schritte gegen ihn nicht ausgeschlossen würden (a.a.O.). Das Bundesgericht kam zum Schluss, durch diese Äusserungen werde der Beschwerdeführer nicht nur als Geschäftsmann kritisiert, sondern auch ein Verdacht des unehrlichen Verhaltens von ihm als Privatperson in den Raum gestellt. Dieser Fall fügt sich nahtlos in die oben zitierten Ausnahmefälle ein, ist jedoch mit dem vorliegenden nicht vergleichbar. Vorliegend wird nicht der Verdacht geäussert, der Beschwerdeführer habe in seiner Eigenschaft als Geschäftsmann strafbare Handlungen begangen. Mit dem Satz, er sei  nota bene als Geschäftsmann  «stets auf der Suche nach Geldgebern, wobei es ihm «bis jetzt immer geglückt sei, das nötige Geld aufzutreiben», wird bei unbefangener Betrachtung kein persönlicher Schatten auf Geltung des Beschwerdeführers als ehrbarer Mensch geworfen.</w:t>
      </w:r>
    </w:p>
    <w:p>
      <w:r>
        <w:t>Auch die weiteren vom Beschwerdeführer angeführten Bundesgerichtsentscheide (BGer 6B_143/2011 und BGE 99 IV 148) sind mit dem vorliegenden Fall nicht vergleichbar und führen nicht zu einer anderen Beurteilung als oben erwogen. Es fehlt vorliegend am Vorwurf des unehrenhaften Verhaltens des Beschwerdeführers als Privatperson.</w:t>
      </w:r>
    </w:p>
    <w:p>
      <w:r>
        <w:t>2.5.3Zusammenfassend ist festzuhalten, dass der Beschwerdeführer durch den Artikel ausschliesslich als Unternehmer und Geschäftsmann betroffen wird, ohne dass dadurch «ein Schatten auf die Geltung als ehrbarer Mensch fällt». Die angeklagten Tatbestände sind somit eindeutig nicht erfüllt und die Staatsanwaltschaft das Strafverfahren gegen B____ zu Recht nicht an die Hand genommen.</w:t>
      </w:r>
    </w:p>
    <w:p>
      <w:r>
        <w:t>2.6Aus der summarischen Prüfung folgt somit, dass die Beschwerde mutmasslich abgewiesen worden wäre, weshalb der Beschwerdeführer die Verfahrenskosten zu tragen hat. Angesichts des Umfangs der Rechtsschriften und des späten Zeitpunkts des Rückzugs ist dem Beschwerdeführer eine Abstandsgebühr von CHF 800. aufzuerlegen (vgl. § 21 Abs. 2 und 3 des Reglements über die Gerichtsgebühren, SG 154.810). Diese Gebühr ist mit dem vom Beschwerdeführer geleisteten Kostenvorschuss von CHF 1'500. zu verrechnen, der Restbetrag ist ihm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