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BES.2020.170 vom 18. November 2020</w:t>
      </w:r>
    </w:p>
    <w:p>
      <w:r>
        <w:t>BS Appellationsgericht, 2020-11-18, DE</w:t>
      </w:r>
    </w:p>
    <w:p>
      <w:r>
        <w:rPr>
          <w:b/>
        </w:rPr>
        <w:t xml:space="preserve">Quelle: </w:t>
      </w:r>
      <w:r>
        <w:t>https://mcp.opencaselaw.ch/entscheid/bs_appellationsgericht_BES.2020.170</w:t>
      </w:r>
    </w:p>
    <w:p>
      <w:r>
        <w:t>FR: BS_APPELLATIONSGERICHT BES.2020.170 du 18 novembre 2020</w:t>
      </w:r>
    </w:p>
    <w:p>
      <w:r>
        <w:t>IT: BS_APPELLATIONSGERICHT BES.2020.170 del 18 novembre 2020</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nach Art. 393 Abs. 2 StPO mit freier Kognition.</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das heisst beschwert ist. Die Beschwer muss im Zeitpunkt des Rechtsmittelentscheids noch gegeben, das heisst aktuell sein (Lieber, in: Donatsch/Hansjakob/Lieber [Hrsg.], Kommentar zur Schweizerischen Strafprozessordnung, 3. Auflage, Zürich/Basel/Genf 2020, Art. 382 N 7 und 13; vgl.Schmid, Schweizerische Strafprozessordnung, Praxiskommentar, 2. Auflage, Zürich/St. Gallen 2013, Art. 382 N 2;Ziegler/Keller, in: Basler Kommentar, 2. Auflage 2014, Art. 382 StPO N 1 f.). Der Wegfall der aktuellen Betroffenheit während des Rechtsmittelverfahrens führt grundsätzlich zur Abschreibung des Rechtsmittels (Ziegler/Keller, a.a.O., Art. 382 N 2).</w:t>
      </w:r>
    </w:p>
    <w:p>
      <w:r>
        <w:t>1.3Strittig ist, ob der Beschwerdeführer ein Rechtsschutzinteresse an der Aufhebung der Verfügung der Vorinstanz hat. Die Staatsanwaltschaft bringt diesbezüglich vor, dass mit Überweisung der Sache an das Strafgericht der Beschwerdeführer kein aktuelles Rechtsschutzinteresse an der Aufhebung oder Änderung der angefochtenen Verfügung mehr habe. Dies, weil die Verfahrensleitung bereits an das Strafgericht übergegangen sei und zudem selbst abgewiesene Beweisanträge beim Strafgericht erneut gestellt werden könnten. Folglich sei auf die Beschwerde nicht einzutreten.</w:t>
      </w:r>
    </w:p>
    <w:p>
      <w:r>
        <w:t>Der Beschwerdeführer entgegnet, die Voraussetzungen von Art. 382 Abs. 1 StPO seien erfüllt, da für eine strafrechtliche Beschwerde nicht verlangt werde, dass ein nicht wiedergutmachender Nachteil drohe. Das rechtliche Interesse ergebe sich aus der Verletzung des Grundsatzes von Treu und Glauben nach Art. 3 Abs. 2 lit. a StPO sowie aus der Wahrung der Verteidigungsrechte, insbesondere des rechtlichen Gehörs. Selbst bei Fehlen eines aktuellen Interesses sei im vorliegenden Fall über die Sache zu befinden, da es sich um eine Frage von grundsätzlicher Bedeutung handle und sich ähnliche Konstellationen in Zukunft in vielfacher Anzahl ergeben würden.</w:t>
      </w:r>
    </w:p>
    <w:p>
      <w:r>
        <w:t>1.4Vorliegend hat die Staatsanwaltschaft mit Anklageschrift vom 19. August 2020 die Sache an das Strafgericht überwiesen. Damit ging auch die Verfahrensleitung gemäss Art. 328 Abs. 2 StPO an das erstinstanzliche Gericht über, weshalb die Fristerstreckung für Beweisanträge durch die Staatsanwaltschaft nachträglich obsolet wurde. Soweit der Beschwerdeführer vorbringt, das Erfordernis eines Rechtsschutzinteresses sei nicht einem nicht wiedergutmachbaren Nachteil gleichzusetzen, so mag dies zwar zutreffen. Jedoch ändert dies nichts am grundsätzlichen Erfordernis eines aktuellen rechtlich geschützten Interesses an der Aufhebung einer Verfügung als Eintretensvoraussetzung (Art. 382 Abs. 1 StPO). Ein solches fehlt vorliegend, da mit Überweisung an das Strafgericht der Beschwerdeführer kein Interesse mehr an einer Fristerstreckung hinsichtlich Beweisanträge bei der Staatsanwaltschaft hat, weil die Staatsanwaltschaft mit dem Übergang der Verfahrensleitung nicht mehr zuständig für die Behandlung von Beweisanträgen ist.</w:t>
      </w:r>
    </w:p>
    <w:p>
      <w:r>
        <w:t>Nach ständiger Gerichtspraxis kann jedoch vom Erfordernis des aktuellen praktischen Interesses abgesehen werden,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(BGE 136 II 101 E. 1.1 S. 103; 135 I 79 E. 1.1 S. 81; BGer 1B_313/2010 vom 17. November 2010 E. 1.2; AGE BES.2016.146 vom 1. Februar 2017 E. 1.3; vgl. dazuLieber, a.a.O., Art. 382 N 13 m.w.H.).</w:t>
      </w:r>
    </w:p>
    <w:p>
      <w:r>
        <w:t>Diese Voraussetzungen sind vorliegend erfüllt. Wie der Beschwerdeführer richtig festhält, handelt es sich vorliegend um eine Konstellation, die öfters vorkommen könnte. Ausserdem kann eine Beschwerde in der vorliegenden Konstellation in der Regel nicht rechtzeitig vor Überweisung der Sache an das Strafgericht überprüft werden. Im Weiteren betrifft die aufgeworfene Frage zur Handhabung von Fristverlängerungen potenziell alle im Strafverfahren involvierten Personen, insbesondere auch eine Vielzahl praktizierender Strafverteidigerinnen und Strafverteidiger, welche bei ihrer Tätigkeit regelmässig Fristerstreckungen benutzen. Eine Klärung dieser Frage scheint daher umso wichtiger, als die Staatsanwaltschaft selbst angibt, keine einheitliche Praxis im Zusammenhang mit Fristverlängerungen zu haben, was eine gewisse Rechtsunsicherheit darstellt. Folglich besteht ein hinreichendes öffentliches Interesse an der Klärung der Frage. Die Beschwerdelegitimation des Beschwerdeführers ist daher trotz Fehlens eines aktuellen Rechtsschutzinteresses zu bejahen. Auf die Beschwerde ist einzutreten.</w:t>
      </w:r>
    </w:p>
    <w:p>
      <w:r>
        <w:rPr>
          <w:b/>
        </w:rPr>
        <w:t>E. 2</w:t>
      </w:r>
    </w:p>
    <w:p>
      <w:r>
        <w:t>Strittig und zu prüfen ist, ob die Staatsanwaltschaft das Gesuch um Fristerstreckung zu Recht abgewiesen hat.</w:t>
      </w:r>
    </w:p>
    <w:p>
      <w:r>
        <w:t>2.1Der Rechtsvertreter des Beschwerdeführers begründete das Fristerstreckungsgesuch mit seiner hohen Arbeitsbelastung und Abwesenheit während der Sommerferien. Wegen der Corona-Pandemie habe sich viel Arbeit aufgestaut, welche es ihm nicht erlaubt habe, sich mit seinem Mandaten zu besprechen und die aktualisierten Verfahrensakten durchzugehen. Ausserdem entspreche es der hiesigen Gerichts- und Behördenpraxis, zweimalig eine Fristerstreckung zu gewähren und nicht erstreckbare Fristen als solche zu bezeichnen, da dies unabdingbar für die Frage der Priorisierung der zu erledigenden Arbeit sei.</w:t>
      </w:r>
    </w:p>
    <w:p>
      <w:r>
        <w:t>Die Staatsanwaltschaft begründete die Abweisung des Gesuchs um Fristerstreckung damit, dass der Straffall nicht komplex sei und lediglich einen Bundesordner an Strafakten umfasse. Dem Beschwerdeführer seien mit der ersten Fristverlängerung bereits 6 Wochen Zeit eingeräumt worden, die Akten zu sichten und Beweisanträge zu stellen. Die geltend gemachten Gründe des Beschwerdeführers, die Sommerferien sowie eine erhöhte Arbeitslast im Nachgang zum Lockdown, seien abschätz- und kontrollierbar gewesen. Ebenso sei der Fall im Advokaturbüro des Verteidigers offensichtlich nicht nur einer Person zugeteilt, sondern es könne die Arbeitslast auf mehrere Schultern verteilt werden. Die geltend gemachten Gründe vermöchten das Beschleunigungsgebot nicht aufzuwiegen und den Parteien sei es unbenommen, jederzeit weitere Eingaben zu tätigen. Sofern sich der Beschwerdeführer auf eine Gerichts- oder Behördenpraxis stütze, nach welcher peremptorische Fristen als solche zu bezeichnen seien, bestehe keine derartige Praxis, sondern es werde jeweils im Einzelfall aufgrund der Umstände entschieden.</w:t>
      </w:r>
    </w:p>
    <w:p>
      <w:r>
        <w:t>Der Beschwerdeführer rügt in seiner Beschwerde, die vorangehende Fristerstreckung sei nicht explizit peremptorisch erfolgt, weshalb die Staatsanwaltschaft mit der Abweisung des Gesuchs um Fristverlängerung gegen Treu und Glauben verstossen habe. Auch sei dadurch das rechtliche Gehör verletzt, da mit der Stellung geeigneter Beweisanträge eine Reduktion der Anklage hätte erwirkt werden können. Überdies entspreche eine zweimalige Fristerstreckung der Gerichts- und Behördenpraxis und es sei willkürlich von der Staatsanwaltschaft, dass sie davon ausgehe, die vom Rechtsvertreter des Beschwerdeführers geltend gemachte Arbeitslast sei abschätz- und kontrollierbar gewesen. Letztlich mache die Staatsanwaltschaft mit ihrem Verweis auf das Beschleunigungsgebot auch keine überwiegenden Interessen geltend, die gegen eine Fristerstreckung sprächen.</w:t>
      </w:r>
    </w:p>
    <w:p>
      <w:r>
        <w:t>2.2Beschliesst die Staatsanwaltschaft, Anklage gegen eine Person zu erheben, so teilt sie den Parteien den Abschluss der Untersuchungen mit und informiert sie darüber, ob sie Anklage erheben oder das Verfahren einstellen will. Gemäss Art. 318 Abs. 1 StPO ist den Parteien dabei Frist zur Nennung allfälliger zusätzlicher Beweisanträge zu setzen. Da das Gesetz für die Ansetzung der Frist keine bestimmte Dauer vorsieht, handelt es sich um eine richterliche Frist im Sinne von Art. 92 StPO, die folglich auch erstreckbar ist. Welche Frist zu setzen ist, liegt somit im Ermessen der Verfahrensleitung. Allerdings hat sie dabei den konkreten Umständen des Falles (bspw. Aktenumfang, Komplexität, Haftsache) sowie dem Beschleunigungsgebot (vgl. Art. 5 StPO) Rechnung zu tragen. Auch hat die Verfahrensleitung dabei nach Treu und Glauben zu handeln (Art.</w:t>
      </w:r>
    </w:p>
    <w:p>
      <w:r>
        <w:rPr>
          <w:b/>
        </w:rPr>
        <w:t>E. 3</w:t>
      </w:r>
    </w:p>
    <w:p>
      <w:r>
        <w:t>3.1Aus dem Gesagten ergibt sich, dass die Beschwerde gutzuheissen ist. Es ist festzustellen, dass die Staatsanwaltschaft dem Beschwerdeführer eine nicht er-streckbare Nachfrist von 10 Tagen hätte ansetzen müssen. Bei diesem Ausgang des Verfahrens sind keine Kosten zu erheben (Art. 428 Abs. 1 StPO).</w:t>
      </w:r>
    </w:p>
    <w:p>
      <w:r>
        <w:t>3.2Der Rechtsvertreter des Beschwerdeführers macht einen gesamthaften Zeitaufwand seiner Substitutin von rund 20.90 Stunden zum Ansatz von CHF 133. sowie Auslagen von insgesamt CHF 25.65 zuzüglich 7,7% Mehrwertsteuer geltend. Der geltend gemachte Aufwand erscheint angemessen, sodass dem Rechtsvertreter für das Beschwerdeverfahren ein Honorar von CHF 1'108.40 sowie Auslagen von CHF 25.65, zuzüglich MWST zu 7,7% von insgesamt CHF 87.30, aus der Gerichtskasse auszurichten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