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BES.2020.157 vom 1. April 2020</w:t>
      </w:r>
    </w:p>
    <w:p>
      <w:r>
        <w:t>BS Appellationsgericht, 2020-04-01, DE</w:t>
      </w:r>
    </w:p>
    <w:p>
      <w:r>
        <w:rPr>
          <w:b/>
        </w:rPr>
        <w:t xml:space="preserve">Quelle: </w:t>
      </w:r>
      <w:r>
        <w:t>https://mcp.opencaselaw.ch/entscheid/bs_appellationsgericht_BES.2020.157</w:t>
      </w:r>
    </w:p>
    <w:p>
      <w:r>
        <w:t>FR: BS_APPELLATIONSGERICHT BES.2020.157 du 1 avril 2020</w:t>
      </w:r>
    </w:p>
    <w:p>
      <w:r>
        <w:t>IT: BS_APPELLATIONSGERICHT BES.2020.157 del 1 aprile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1.1Bei der Verfügung des Einzelgerichts in Strafsachen vom 3. August 2020 handelt es sich um einen Kostenentscheid, mit dem nicht materiell über Straf- oder Zivilfragen befunden wurde. Daher kommt das Beschwerdeverfahren gemäss Art. 393 Abs. 1 lit. b in Verbindung mit Art. 80 Abs. 1 StPO zur Anwendung (Guidon, in: Basler Kommentar, 2. Auflage 2014, Art. 393 StPO N 12;Schwarzenegger, in: Donatsch et al. [Hrsg.], Kommentar zur Schweizerischen Strafprozessordnung,</w:t>
      </w:r>
    </w:p>
    <w:p>
      <w:r>
        <w:rPr>
          <w:b/>
        </w:rPr>
        <w:t>E. 3</w:t>
      </w:r>
    </w:p>
    <w:p>
      <w:r>
        <w:t>Aus dem Dargelegten ergibt sich, dass die Beschwerde abzuweisen ist. Bei diesem Ausgang des Verfahrens hat der Beschwerdeführer gemäss Art. 428 Abs. 1 StPO dessen Kosten zu tragen. Dabei wird die Gebühr auf CHF 1000. festgelegt (§ 21 Abs. 2 des Reglements über die Gerichtsgebühren [SG 154.810]).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