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BES.2020.115 vom 27. Mai 2020</w:t>
      </w:r>
    </w:p>
    <w:p>
      <w:r>
        <w:t>BS Appellationsgericht, 2020-05-27, DE</w:t>
      </w:r>
    </w:p>
    <w:p>
      <w:r>
        <w:rPr>
          <w:b/>
        </w:rPr>
        <w:t xml:space="preserve">Quelle: </w:t>
      </w:r>
      <w:r>
        <w:t>https://mcp.opencaselaw.ch/entscheid/bs_appellationsgericht_BES.2020.115</w:t>
      </w:r>
    </w:p>
    <w:p>
      <w:r>
        <w:t>FR: BS_APPELLATIONSGERICHT BES.2020.115 du 27 mai 2020</w:t>
      </w:r>
    </w:p>
    <w:p>
      <w:r>
        <w:t>IT: BS_APPELLATIONSGERICHT BES.2020.115 del 27 maggio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1.2Die Beschwerdeführer haben ein rechtlich geschütztes Interesse an der Aufhebung der zur Diskussion stehenden Verfügung (Art. 382 Abs. 1 StPO), sodass auf die frist- und formgerecht im Sinne von Art. 396 Abs. 1 StPO erhobene Beschwerde einzutreten ist.</w:t>
      </w:r>
    </w:p>
    <w:p>
      <w:r>
        <w:rPr>
          <w:b/>
        </w:rPr>
        <w:t>E. 2</w:t>
      </w:r>
    </w:p>
    <w:p>
      <w:r>
        <w:t>2.1Erachtet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Der zitierte Artikel konkretisiert den grundrechtlichen Anspruch auf rechtliches Gehör (Art. 29 Abs. 2 der Bundesverfassung [BV, SR 101) und ist zwingender Natur. Der Gehörsanspruch ist insbesondere dann verletzt, wenn ein Entscheid ergeht, ohne dass der Betroffene zum Beweisergebnis Stellung nehmen konnte oder ihm nicht alle Beweise bekannt waren. Die Unterlassung der Parteimitteilung führt im Falle einer Einstellung daher in der Regel zur Aufhebung der Einstellungsverfügung (Steiner, in: Basler Kommentar, 2. Auflage 2014, Art. 318 StPO N 15;Landshut/Bosshard, in: Donatsch/Lieber/Summers/Wohlers [Hrsg.], Kommentar zur StPO, 3. Auflage, Zürich 2020, Art. 318 N 2a).</w:t>
      </w:r>
    </w:p>
    <w:p>
      <w:r>
        <w:t>2.2Eine nicht besonders schwerwiegende Verletzung des rechtlichen Gehörs kann ausnahmsweise dann geheilt werden,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136 V 117 E. 4.2.2.2 S. 126 f., 133 I 201 E. 2.2 S. 204 f.;Steiner, a.a.O., Art. 318 StPO N 16).</w:t>
      </w:r>
    </w:p>
    <w:p>
      <w:r>
        <w:rPr>
          <w:b/>
        </w:rPr>
        <w:t>E. 3</w:t>
      </w:r>
    </w:p>
    <w:p>
      <w:r>
        <w:t>3.1Im vorliegenden Fall liegt zwar eine an A____ adressierte «Ankündigung des Abschlusses der Untersuchung» bei den Akten. Indes wurde das entsprechende Schreiben  wie die Staatsanwaltschaft einräumt  per A-Post versendet, weshalb eine Zustellung an die Beschwerdeführer nicht bewiesen werden kann. Da die Beweislast für die erfolgte Zustellung und deren Datum bei der Behörde liegt (BGE 142 IV 125 E. 4.3 S. 128, 136 V 295 E. 5.9 S. 309), gilt die entsprechende Mitteilung als nicht erfolgt und wurde das rechtliche Gehör der Beschwerdeführer verletzt.</w:t>
      </w:r>
    </w:p>
    <w:p>
      <w:r>
        <w:t>3.2Obwohl das Beschwerdegericht mit freier Kognition entscheidet (vgl. dazu E. 1.1), ist eine Heilung der Gehörsverletzung vorliegend ausgeschlossen: Der Vertreter der Beschwerdeführer konnte die bisherige Untersuchung sowie die vorgenommene Beweiswürdigung mangels Akteneinsicht bis anhin nicht beurteilen und auch keine Beweisanträge stellen. Er hätte insbesondere rügen können, dass zum Vornherein gegen die falsche Person ermittelt worden ist (der Strafantrag mit dem Namen des Beschuldigten sowie des in Frage kommenden Tatbestands der fahrlässigen Körperverletzung wurde von Kriminalkommissär [...] ausgefüllt und A____ zur Unterschrift nach [...] zugestellt). Es leuchtet nicht ein, weshalb die Untersuchung gegen den Verwaltungsratspräsidenten der Bauherrin ([...]) und nicht gegen einen Verantwortlichen des Baugeschäfts [...] (beispielsweise den Polier) oder des zuständigen Architekturbüros ([...]) geführt und in diesem Zusammenhang nicht auch der Tatbestand der «Gefährdung durch Verletzung der Regeln der Baukunde» (Art. 229 Abs. 2 des Strafgesetzbuches [StGB, SR 311.0]) geprüft worden ist. Im Übrigen hätte der Vertreter der Beschwerdeführer innert der Beweisantragsfrist auch dazu Stellung beziehen können, weshalb die Verletzungen des zum damaligen Zeitpunkt vier Monate alten C____ (Rötung am Kopf) aufgrund dessen Hospitalisation im Universitäts-Kinderspital beider Basel (UKBB) allenfalls nicht doch das Ausmass einer einfachen Körperverletzung (Art. 123 StGB) erreicht haben.</w:t>
      </w:r>
    </w:p>
    <w:p>
      <w:r>
        <w:t>3.3Nach dem Gesagten kann von einem formalistischen Leerlauf im Sinne der vorzitierten Rechtsprechung keine Rede sein, zumal angesichts der Tatsache, dass das Strafverfahren seit dem schriftlich eingereichten Bericht des Beschuldigten vom 27. März 2019 während mehr als eines Jahres stillstand, auch nicht von einer unnötigen Verzögerung gesprochen werden kann. Die Einstellungsverfügung ist damit aufzuheben und zwecks Auseinandersetzung mit den vorgenannten Aspekten bzw. Gewährung des rechtlichen Gehörs an die Staatsanwaltschaft zurückzuweisen.</w:t>
      </w:r>
    </w:p>
    <w:p>
      <w:r>
        <w:rPr>
          <w:b/>
        </w:rPr>
        <w:t>E. 4</w:t>
      </w:r>
    </w:p>
    <w:p>
      <w:r>
        <w:t>Aus dem Gesagten folgt, dass die Beschwerde gutzuheissen ist. Bei diesem Ausgang des Verfahrens werden keine Kosten erhoben (Art. 428 Abs. 1 StPO). Dem Vertreter der Beschwerdeführer im Kostenerlass, B____ (die unentgeltliche Verbeiständung wurde mit Verfügung des Verfahrensleiters vom 12. Juni 2020 bewilligt), ist ein Honorar aus der Gerichtskasse auszurichten, wobei der Aufwand mangels Einreichung einer Kostennote zu schätzen ist und auch bei Obsiegen praxisgemäss CHF 200. pro Stunde zu vergüten sind (AGE BES.2020.25 vom 31. August 2020 E. 4.3, BES.2018.14 vom 7. September 2018 E. 3.1). Im Vergleich mit anderen Verfahren erscheint ein Zeitaufwand von insgesamt vier Stunden (zuzüglich Mehrwertsteuer) angemessen.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