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BES.2019.90 vom 6. Mai 2019</w:t>
      </w:r>
    </w:p>
    <w:p>
      <w:r>
        <w:t>BS Appellationsgericht, 2019-05-06, DE</w:t>
      </w:r>
    </w:p>
    <w:p>
      <w:r>
        <w:rPr>
          <w:b/>
        </w:rPr>
        <w:t xml:space="preserve">Quelle: </w:t>
      </w:r>
      <w:r>
        <w:t>https://mcp.opencaselaw.ch/entscheid/bs_appellationsgericht_BES.2019.90</w:t>
      </w:r>
    </w:p>
    <w:p>
      <w:r>
        <w:t>FR: BS_APPELLATIONSGERICHT BES.2019.90 du 6 mai 2019</w:t>
      </w:r>
    </w:p>
    <w:p>
      <w:r>
        <w:t>IT: BS_APPELLATIONSGERICHT BES.2019.90 del 6 maggio 2019</w:t>
      </w:r>
    </w:p>
    <w:p>
      <w:pPr>
        <w:pStyle w:val="Heading2"/>
      </w:pPr>
      <w:r>
        <w:t>Erwägungen</w:t>
      </w:r>
    </w:p>
    <w:p>
      <w:r>
        <w:rPr>
          <w:b/>
        </w:rPr>
        <w:t>E. 1</w:t>
      </w:r>
    </w:p>
    <w:p>
      <w:r>
        <w:t>1.1Die Staatsanwaltschaft hat in vorliegender Sache ein psychiatrisches Gutachten in Auftrag gegeben. Bei der Ernennung von Sachverständigen handelt es sich um eine beschwerdefähige Verfügung. Eine solche kann innert zehn Tagen mittels Beschwerde bei der Beschwerdeinstanz angefochten werden (Art. 393 Abs. 1 lit. a in Verbindung mit Art. 184 der Schweizerischen Strafprozessordnung [StPO, SR 312.0]; vgl.Heer, in: Basler Kommentar, 2. Aufl., Basel 2014, Art. 184 N 38).</w:t>
      </w:r>
    </w:p>
    <w:p>
      <w:r>
        <w:t>1.2Die angefochtene Verfügung datiert vom 3. April 2019, die Beschwerdeschrift vom 15. April 2019. Es ist mangels gegenteiliger Hinweise davon auszugehen, dass die Beschwerde innert Frist erhoben worden ist.</w:t>
      </w:r>
    </w:p>
    <w:p>
      <w:r>
        <w:rPr>
          <w:b/>
        </w:rPr>
        <w:t>E. 2</w:t>
      </w:r>
    </w:p>
    <w:p>
      <w:r>
        <w:t>2.1Die Beschwerdeführerin hält fest, dass ihr Verteidiger den Antrag auf Begutachtung ohne Kenntnis der Vorgeschichte und ohne Kenntnis der Beschwerdeführerin gestellt habe. Hierzu ist allerdings anzumerken, dass die Staatsanwaltschaft aufgrund der vorliegenden Tat zweifellos auch ohne entsprechenden Antrag der Verteidigung eine psychiatrische Begutachtung der Täterin in Auftrag gegeben hätte.</w:t>
      </w:r>
    </w:p>
    <w:p>
      <w:r>
        <w:t>2.2Die Beschwerdeführerin hat sich nicht gegen die Person des Sachverständigen ausgesprochen, sie befürchtet aber eine Manipulation der beschlagnahmten Unterlagen. Es ist jedoch nicht ersichtlich und wird auch nicht dargelegt, weshalb auf Seiten der Strafverfolgungsbehörden oder des Gutachters ein Interesse bestehen könnte, diese Dokumente zu verändern.</w:t>
      </w:r>
    </w:p>
    <w:p>
      <w:r>
        <w:t>2.3Nach dem Gesagten erweist sich die Beschwerde als unbegründet, weshalb sie abzuweisen ist. Auf die Erhebung einer Entscheidgebühr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