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BES.2019.9 vom 14. März 2019</w:t>
      </w:r>
    </w:p>
    <w:p>
      <w:r>
        <w:t>BS Appellationsgericht, 2019-03-14, DE</w:t>
      </w:r>
    </w:p>
    <w:p>
      <w:r>
        <w:rPr>
          <w:b/>
        </w:rPr>
        <w:t xml:space="preserve">Quelle: </w:t>
      </w:r>
      <w:r>
        <w:t>https://mcp.opencaselaw.ch/entscheid/bs_appellationsgericht_BES.2019.9</w:t>
      </w:r>
    </w:p>
    <w:p>
      <w:r>
        <w:t>FR: BS_APPELLATIONSGERICHT BES.2019.9 du 14 mars 2019</w:t>
      </w:r>
    </w:p>
    <w:p>
      <w:r>
        <w:t>IT: BS_APPELLATIONSGERICHT BES.2019.9 del 14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1.1Gemäss Art. 393 Abs. 1 lit. a der Strafprozessordnung (StPO, SR 312.0) ist gegen Verfügungen und Verfahrenshandlungen der Staatsanwaltschaft und der Polizei die Beschwerde zulässig. Zuständiges Beschwerdegericht ist das Appellationsgericht als Einzelgericht (§ 88 Abs. 1 in Verbindung mit § 93 Abs. 1 Ziff. 1 des Gerichtsorganisationsgesetzes [GOG, SG 154.100]), welches gemäss Art. 393 Abs.</w:t>
      </w:r>
    </w:p>
    <w:p>
      <w:r>
        <w:rPr>
          <w:b/>
        </w:rPr>
        <w:t>E. 2</w:t>
      </w:r>
    </w:p>
    <w:p>
      <w:r>
        <w:t>Bei diesem Ausgang des Verfahrens hätte der Beschwerdeführer grundsätzlich dessen Kosten zu tragen (Art. 428 Abs. 1 StPO). Umständehalber wird jedoch auf die Kostenerhebung verzichtet.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