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BES.2019.81 vom 5. März 2020</w:t>
      </w:r>
    </w:p>
    <w:p>
      <w:r>
        <w:t>BS Appellationsgericht, 2020-03-05, DE</w:t>
      </w:r>
    </w:p>
    <w:p>
      <w:r>
        <w:rPr>
          <w:b/>
        </w:rPr>
        <w:t xml:space="preserve">Quelle: </w:t>
      </w:r>
      <w:r>
        <w:t>https://mcp.opencaselaw.ch/entscheid/bs_appellationsgericht_BES.2019.81</w:t>
      </w:r>
    </w:p>
    <w:p>
      <w:r>
        <w:t>FR: BS_APPELLATIONSGERICHT BES.2019.81 du 5 mars 2020</w:t>
      </w:r>
    </w:p>
    <w:p>
      <w:r>
        <w:t>IT: BS_APPELLATIONSGERICHT BES.2019.81 del 5 marzo 2020</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40 i.V.m. § 43 Abs. 3 des basel-städtischen Gerichtsorganisationsgesetzes (GOG, SG 154.100) bei einer Präsidentin oder einem Präsidenten als Einzelgericht. Damit ist zur Behandlung des vorliegenden Gesuchs ein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w:t>
      </w:r>
    </w:p>
    <w:p>
      <w:r>
        <w:t>2.2Der Gesuchsteller macht geltend, er erziele im Massnahmenvollzug ein monatliches Arbeitsentgelt von durchschnittlich CHF 500.. Hiervon stünden 70 % zu seiner freien Verfügung und 30 % würden auf andere Konten verteilt. Er sei bestrebt, bestehende Rechnungen zu begleichen und habe diesbezüglich offene Ratenzahlungen. Zudem müsse er von seinem Arbeitsentgelt für persönliche Bedürfnisse aufkommen, wie Toilettenartikel, 10 % von Arztrechnungen, Kleider, sowie für die Kosten der begleitenden Ausgänge, z.B. Zugbillette, Essen, etc. Der Gesuchsteller schliesst daraus, es sei ihm nicht möglich den geforderten Betrag von CHF 1'000. zu begleichen.</w:t>
      </w:r>
    </w:p>
    <w:p>
      <w:r>
        <w:t>2.3Wie sich aus den Akten des Verfahrens BES.2019.81 ergibt, wurde der Gesuchsteller vom Strafgericht Basel-Stadt am 12. November 1998 zu einer Freiheitsstrafe von 5 Jahren und 6 Monaten verurteilt, die zu Gunsten einer Einweisung in eine Heil- und Pflegeanstalt aufgeschoben wurde. Hieraus flüchtete der Gesuchsteller am 11. Juli 1999 und setzte sich nach [...] ab, wo er am 15. Juni 2001 zu einer weiteren langjährigen Freiheitsstrafe verurteilt wurde. Am 5. September 2011 wurde der Gesuchsteller an die Schweiz ausgeliefert, worauf der Freiheitsentzug jeweils unter dem Titel von Art. 59 StGB verlängert wurde, letztmals bis zum 31. Januar 2021. Damit befindet sich der Gesuchsteller mit einer kurzen Unterbrechung seit über 20 Jahren im In- und Ausland im Freiheitsentzug.</w:t>
      </w:r>
    </w:p>
    <w:p>
      <w:r>
        <w:t>Vor diesem Hintergrund hat der Gesuchsteller hinreichend dargetan, dass er mittellos ist. Auch die ratenweise Vollstreckung eines Betrages von CHF 1'000. würde dazu führen, dass seine geringen frei verfügbaren Mittel über längere Zeit gebunden wären, zumal er sich nach eigenem Bekunden bereits darum bemüht, bestehenden Zahlungsverpflichtungen nachzukommen. Es erschiene mit Blick auf seine Resozialisierungsaussichten insbesondere unbillig, die Fortsetzung begleiteter Ausgänge auf dem Wege finanzieller Verpflichtungen zu gefährden.</w:t>
      </w:r>
    </w:p>
    <w:p>
      <w:r>
        <w:t>Zusammenfassend sind die Kriterien für einen Erlass der Verfahrenskosten gegeben und das Gesuch ist gutzuheissen.</w:t>
      </w:r>
    </w:p>
    <w:p>
      <w:r>
        <w:rPr>
          <w:b/>
        </w:rPr>
        <w:t>E. 3</w:t>
      </w:r>
    </w:p>
    <w:p>
      <w:r>
        <w:t>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