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BES.2019.278 vom 22. Juli 2020</w:t>
      </w:r>
    </w:p>
    <w:p>
      <w:r>
        <w:t>BS Appellationsgericht, 2020-07-22, DE</w:t>
      </w:r>
    </w:p>
    <w:p>
      <w:r>
        <w:rPr>
          <w:b/>
        </w:rPr>
        <w:t xml:space="preserve">Quelle: </w:t>
      </w:r>
      <w:r>
        <w:t>https://mcp.opencaselaw.ch/entscheid/bs_appellationsgericht_BES.2019.278</w:t>
      </w:r>
    </w:p>
    <w:p>
      <w:r>
        <w:t>FR: BS_APPELLATIONSGERICHT BES.2019.278 du 22 juillet 2020</w:t>
      </w:r>
    </w:p>
    <w:p>
      <w:r>
        <w:t>IT: BS_APPELLATIONSGERICHT BES.2019.278 del 22 luglio 2020</w:t>
      </w:r>
    </w:p>
    <w:p>
      <w:pPr>
        <w:pStyle w:val="Heading2"/>
      </w:pPr>
      <w:r>
        <w:t>Erwägungen</w:t>
      </w:r>
    </w:p>
    <w:p>
      <w:r>
        <w:rPr>
          <w:b/>
        </w:rPr>
        <w:t>E. 1</w:t>
      </w:r>
    </w:p>
    <w:p>
      <w:r>
        <w:t>Gemäss Art. 425 der Strafprozessordnung (StPO, SR 312.0) können Forderungen aus Verfahrenskosten unter bestimmten Voraussetzungen gestundet, herabgesetzt oder erlassen werden. Zuständig für den Entscheid ist nach der genannten Bestimmung die Strafbehörde. Im Kanton Basel-Stadt sind Gesuche um Erlass der Verfahrenskosten von dem Gericht zu entscheiden, welches als letzte kantonale Instanz die Tragung der Verfahrenskosten festgelegt hat. Die funktionelle Zuständigkeit innerhalb des Gerichts liegt gemäss § 43 Abs. 3 des Gerichtsorganisationsgesetzes (GOG, SG 154.100) beim Einzelgericht (statt vieler: AGE SB.2016.84 vom 8. April 2019). Damit ist zur Behandlung des vorliegenden Gesuchs das Einzelgericht des Appellationsgerichts zuständig.</w:t>
      </w:r>
    </w:p>
    <w:p>
      <w:r>
        <w:rPr>
          <w:b/>
        </w:rPr>
        <w:t>E. 2</w:t>
      </w:r>
    </w:p>
    <w:p>
      <w:r>
        <w:t>2.1Art. 425 StPO hält fest, dass ein Erlass von Verfahrenskosten unter Berücksichtigung der wirtschaftlichen Verhältnisse der kostenpflichtigen Person erfolgt. Diese müssen derart angespannt sein, dass eine (ganze oder teilweise) Kostenauflage als unbillig erscheint, wovon auszugehen ist, wenn die kostenpflichtige Person mittellos ist oder die Höhe der Kosten zusammen mit ihren übrigen Schulden die Resozialisierung bzw. das finanzielle Weiterkommen ernsthaft gefährden kann. Dem Gericht kommt ein grosser Ermessens- und Beurteilungsspielraum zu (Domeisen, in: Basler Kommentar, 2. Aufl. 2014, Art. 425 StPO N 4).</w:t>
      </w:r>
    </w:p>
    <w:p>
      <w:r>
        <w:t>2.2Der Gesuchsteller ist seit dem 10. Januar 2018 in Untersuchungs- und Sicherheitshaft. In seinem Gesuch vom 25. Juni 2020 hat er seine finanziellen Verhältnisse dargestellt. Zusätzlich hat er auf die Akten des Verfahrens VD.2019.92 verwiesen, wo ihm bereits die unentgeltliche Prozessführung zugesprochen worden war. Gemäss den glaubhaften Aussagen des Gesuchstellers beträgt sein monatliches Einkommen in der Justizvollzugsanstalt Bostadel lediglich um die CHF 500., wovon CHF 400. an Alimenten für sein Kind und CHF 30. als Wiedergutmachungsleistungen abzugeben sind. Der Gesuchsteller muss nach dem Gesagten als mittellos bezeichnet werden. Vor diesem Hintergrund kann ihm eine Bezahlung seiner Verfahrenskosten, auch in der Form einer Ratenzahlung, nicht zugemutet werden. Es rechtfertigt sich daher, ihm die Verfahrenskosten zu erlassen.</w:t>
      </w:r>
    </w:p>
    <w:p>
      <w:r>
        <w:rPr>
          <w:b/>
        </w:rPr>
        <w:t>E. 3</w:t>
      </w:r>
    </w:p>
    <w:p>
      <w:r>
        <w:t>Nach dem Gesagten ist das Erlassgesuch bezüglich der Verfahrenskosten gutzuheissen.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