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BES.2019.253 vom 9. April 2020</w:t>
      </w:r>
    </w:p>
    <w:p>
      <w:r>
        <w:t>BS Appellationsgericht, 2020-04-09, DE</w:t>
      </w:r>
    </w:p>
    <w:p>
      <w:r>
        <w:rPr>
          <w:b/>
        </w:rPr>
        <w:t xml:space="preserve">Quelle: </w:t>
      </w:r>
      <w:r>
        <w:t>https://mcp.opencaselaw.ch/entscheid/bs_appellationsgericht_BES.2019.253</w:t>
      </w:r>
    </w:p>
    <w:p>
      <w:r>
        <w:t>FR: BS_APPELLATIONSGERICHT BES.2019.253 du 9 avril 2020</w:t>
      </w:r>
    </w:p>
    <w:p>
      <w:r>
        <w:t>IT: BS_APPELLATIONSGERICHT BES.2019.253 del 9 aprile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HB.2019.52 vom 27. Dezember 2019 E. 1). Damit ist zur Behandlung des vorliegenden Erlassgesuchs derjenige Einzelrichter zuständig, welcher den zur Diskussion stehenden Beschwerdeentscheid erlassen hat.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a.a.O., Art. 425 StPO N 4).</w:t>
      </w:r>
    </w:p>
    <w:p>
      <w:r>
        <w:t>2.2Der verschuldete Gesuchsteller befindet sich seit einiger Zeit im Straf- bzw. Massnahmenvollzug, aktuell im Gefängnis Bässlergut. Während dieser Zeit konnte er folglich kein reguläres Einkommen erzielen. Zurzeit verfügt er lediglich über ein bescheidenes Pekulium (Art. 83 des Strafgesetzbuches [StGB, SR 311.0]). Mit diesem bezahlt er offenbar jeden Monat seine Krankenkassenprämie und trägt auch ratenweise Schulden bei verschiedenen Gläubigern ab. Auch scheint es ihm ein echtes Bedürfnis zu sein, den finanziellen Verpflichtungen gegenüber seiner Tochter in Zukunft nachzukommen.</w:t>
      </w:r>
    </w:p>
    <w:p>
      <w:r>
        <w:t>2.3A____ muss nach dem Gesagten als mittellos bezeichnet werden. Unter diesen Umständen erscheint eine Kostenauflage im Sinne des vorstehend Ausgeführten als unbillig. Auch könnte die Abtragung alter Verbindlichkeiten nach der Haftentlassung die Resozialisierung des Gesuchstellers ernsthaft erschweren. Dies ist zu verhindern. Zudem ist er in seinem Willen, seinen finanziellen Verpflichtungen der Tochter gegenüber nachzukommen, zu unterstützen. Auch wenn der ausstehende Betrag von CHF 800. nicht hoch ist, kann ihm unter den gegebenen Umständen auch eine Ratenzahlung nicht zugemutet werden. Es rechtfertigt sich, ihm die Verfahrenskosten zu erlassen.</w:t>
      </w:r>
    </w:p>
    <w:p>
      <w:r>
        <w:rPr>
          <w:b/>
        </w:rPr>
        <w:t>E. 3</w:t>
      </w:r>
    </w:p>
    <w:p>
      <w:r>
        <w:t>3.1Nach dem Gesagten ist das Erlassgesuch gutzuheissen. Das Gesuchsverfahren ist kostenlos.</w:t>
      </w:r>
    </w:p>
    <w:p>
      <w:r>
        <w:t>3.2A____ hat das vorliegende Gesuch selbständig ohne Inanspruchnahme seines amtlichen Verteidigers [...] verfasst und eingereicht. Der vorliegende Entscheid ist deshalb auch dem Gesuchsteller persönlich zu eröffnen. Sollte es seinem Wunsch entsprechen, dass [...] Kenntnis davon erhält, hat der Gesuchsteller für die Weiterleitung des Entscheids selbst besorgt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