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BES.2019.233 vom 15. Oktober 2019</w:t>
      </w:r>
    </w:p>
    <w:p>
      <w:r>
        <w:t>BS Appellationsgericht, 2019-10-15, DE</w:t>
      </w:r>
    </w:p>
    <w:p>
      <w:r>
        <w:rPr>
          <w:b/>
        </w:rPr>
        <w:t xml:space="preserve">Quelle: </w:t>
      </w:r>
      <w:r>
        <w:t>https://mcp.opencaselaw.ch/entscheid/bs_appellationsgericht_BES.2019.233</w:t>
      </w:r>
    </w:p>
    <w:p>
      <w:r>
        <w:t>FR: BS_APPELLATIONSGERICHT BES.2019.233 du 15 octobre 2019</w:t>
      </w:r>
    </w:p>
    <w:p>
      <w:r>
        <w:t>IT: BS_APPELLATIONSGERICHT BES.2019.233 del 15 ottobre 2019</w:t>
      </w:r>
    </w:p>
    <w:p>
      <w:pPr>
        <w:pStyle w:val="Heading2"/>
      </w:pPr>
      <w:r>
        <w:t>Erwägungen</w:t>
      </w:r>
    </w:p>
    <w:p>
      <w:r>
        <w:rPr>
          <w:b/>
        </w:rPr>
        <w:t>E. 1</w:t>
      </w:r>
    </w:p>
    <w:p>
      <w:r>
        <w:t>1.1Gemäss Art. 39 der Jugendstrafprozessordnung (JStPO, SR 312.1) richten sich die Zulässigkeit der Beschwerde sowie die Beschwerdegründe im Jugendstrafprozess nach Art. 393 der Strafprozessordnung (StPO, SR 312.0). Gegen Verfügungen der Jugendanwaltschaft kann innert zehn Tagen schriftlich und begründet Beschwerde erhoben werden (Art. 393 Abs. 1 lit. a und Art. 396 Abs. 1 StPO).</w:t>
      </w:r>
    </w:p>
    <w:p>
      <w:r>
        <w:t>1.2Der 2002 geborene Beschwerdeführer ist als urteilsfähiger Jugendlicher nach Art. 38 Abs. 1 lit. a JStPO grundsätzlich zur Ergreifung von Rechtsmitteln legitimiert. Er ist überdies durch die angeordnete bzw. bereits vollzogene Zwangsmassnahme unmittelbar berührt und hat ein rechtlich geschütztes Interesse an der Aufhebung der angefochtenen Verfügung, womit er zur vorliegenden Beschwerde legitimiert ist.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rPr>
          <w:b/>
        </w:rPr>
        <w:t>E. 2</w:t>
      </w:r>
    </w:p>
    <w:p>
      <w:r>
        <w:t>2.1Bei der erkennungsdienstlichen Erfassung nach Art. 260 Abs. 1 StPO werden die Körpermerkmale (wie Grösse und Gewicht) einer Person festgestellt, Fotografien erstellt bzw. Abdrücke von Körperteilen genommen. Erkennungsdienstliche Massnahmen können das Recht auf persönliche Freiheit (Art. 10 Abs. 2 der Bundesverfassung [BV, SR 101]) und auf informationelle Selbstbestimmung (Art. 13 Abs. 2 BV bzw. Art. 8 der Europäischen Menschenrechtskonvention [EMRK, SR 0.101]) berühren (BGE 136 I 87 E. 5.1 S. 101, 128 II 259 E. 3.2 S. 268). Dabei ist von einem leichten Grundrechtseingriff auszugehen, der sich unter den Voraussetzungen von Art. 36 BV als zulässig erweist (BGE 144 IV 127 E. 2.1 S. 133, 134 III 241 E. 5.4.3 S. 247).</w:t>
      </w:r>
    </w:p>
    <w:p>
      <w:r>
        <w:t>2.2Die erkennungsdienstliche Erfassung stellt eine Zwangsmassnahme dar. Eine solche kann gemäss Art. 197 Abs. 1 StPO nur dann ergriffen werden, wenn ein hinreichender Tatverdacht vorliegt (lit. b), die damit angestrebten Ziele nicht durch mildere Massnahmen erreicht werden können (lit. c) und die Bedeutung der Straftat die Zwangsmassnahme rechtfertigt (lit. d). Soweit die Massnahme nicht der Aufklärung der Straftaten eines laufenden Strafverfahrens dient, ist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erkennungsdienstliche Erfassung nicht aus, sondern es fliesst als eines von vielen Kriterien in die Gesamtabwägung ein und ist entsprechend zu gewichten (BGE 141 IV 87 E. 1.3 und 1.4 S. 90 ff.; BGer 1B_17/2019 vom 24. April 2019 E. 3.4).</w:t>
      </w:r>
    </w:p>
    <w:p>
      <w:r>
        <w:rPr>
          <w:b/>
        </w:rPr>
        <w:t>E. 3</w:t>
      </w:r>
    </w:p>
    <w:p>
      <w:r>
        <w:t>3.1Anlässlich der Klima-Aktionstage («Collective Climate Justice»-Tage) umstellten am 8. Juli 2019 kurz nach 06.00 Uhr morgens, diverse Personen die [...]-Gebäude bei der [...]. Sie brachten rund um die Liegenschaften mit Kohlestücken Parolen an, klebten Überwachungskameras ab und blockierten  teilweise mit Holzbarrikaden und Kohlehaufen  die Eingänge. Nachdem die [...] Strafantrag wegen Hausfriedensbruchs und Sachbeschädigung gestellt hatte, mahnte die Kantonspolizei die Aktivisten zwischen 14.00 Uhr und 14.05 Uhr ab. Es wurde ihnen Zeit gegeben, sich bis um 14.15 Uhr von der Örtlichkeit zu entfernen. Nach dieser Abmahnung verliessen mehrere Beteiligte das Areal. Diese Personen wurden durch die Polizei nicht kontrolliert und dementsprechend wurde auch kein Verfahren gegen sie eröffnet.</w:t>
      </w:r>
    </w:p>
    <w:p>
      <w:r>
        <w:t>3.2Um 14.15 Uhr wurden die auf dem Privatareal der [...] verbliebenen Aktivisten durch die Polizei «eingekesselt». Sie erhielten die Möglichkeit, sich kontrollieren zu lassen, ihre Personalien anzugeben und anschliessend die Örtlichkeit zu verlassen. Von dieser Möglichkeit machten diverse Personen unter anderem der Beschwerdeführer  Gebrauch.</w:t>
      </w:r>
    </w:p>
    <w:p>
      <w:r>
        <w:t>3.3Das Strafgericht Basel-Stadt hat  wie sich aus der eingeholten amtlichen Erkundigung ergibt  alle erwachsenen Teilnehmer von sämtlichen gegen sie erhobenen Vorwürfen im Zusammenhang mit den Klima-Aktionstagen freigesprochen bzw. hat die Verfahren im Anklagepunkt des Hausfriedensbruchs zufolge Rückzugs des Strafantrags eingestellt. Insofern kann zum heutigen Zeitpunkt nicht mehr von einem hinreichenden Tatverdacht im Sinne von Art. 197 Abs. 1 lit. b StPO ausgegangen werden (vgl. dazu BGer 1B_176/2018 vom 2. Mai 2018 E. 3.2, 1B_392/2013 vom 22. November 2013 E. 5 e contrario), weshalb die Beschwerde von A____ nur schon deshalb gutzuheissen ist.</w:t>
      </w:r>
    </w:p>
    <w:p>
      <w:r>
        <w:rPr>
          <w:b/>
        </w:rPr>
        <w:t>E. 4</w:t>
      </w:r>
    </w:p>
    <w:p>
      <w:r>
        <w:t>4.1Dazu kommt, dass das Bundesgericht in den drei Pilotfällen festgehalten hat, dass die erkennungsdienstliche Erfassung nicht zur Aufklärung der Anlasstaten notwendig sei (vgl. dazu BGer 1B_285/2020 vom 22. April 2021 E. 3.1 f., 1B_286/2020, 1B_294/2020 vom 22. April 2021 E. 3.1 f., 1B_287/2020, 1B_293/2020 vom 22. April 2021 E. 3.1 f.). Hinsichtlich allfälliger weiterer Delikte erscheine im konkreten Kontext zudem bereits fraglich, ob die den Beteiligten vorgeworfenen Delikte die notwendige Schwere aufweisen würden (vgl. dazu BGer 1B_285/2020 vom 22. April 2021 E. 4.3.1, 1B_286/2020, 1B_294/2020 vom 22. April 2021 E. 4.4, 1B_287/2020, 1B_293/2020 vom 22. April 2021 E. 4.4). Darüber hinaus bestünden  auch wenn einer der Beschwerdeführer in den Pilotfällen wegen Landfriedensbruchs vorbestraft war und eigens für die zur Diskussion stehenden Ereignisse nach Basel reiste  auch keine erheblichen und konkreten Anhaltspunkte, aufgrund welcher die angeordneten Zwangsmassnahmen erforderlich wären, um das im öffentlichen Interesse liegende Ziel der Aufklärung bzw. Verhinderung von künftigen Straftaten einer gewissen Schwere zu erreichen (vgl. dazu BGer 1B_285/2020 vom 22. April 2021 E. 4.3.2 ff.). Die Massnahmen erwiesen sich bei sorgfältiger Prüfung der sich entgegenstehenden privaten und öffentlichen Interessen angesichts der friedlichen Grundstimmung jedenfalls nicht als zumutbar (BGer 1B_285/2020 vom 22. April 2021 E. 4.4 f., 1B_286/2020, 1B_294/2020 vom 22. April 2021 E. 4.4, 1B_287/2020, 1B_293/2020 vom 22. April 2021 E. 4.4).</w:t>
      </w:r>
    </w:p>
    <w:p>
      <w:r>
        <w:t>4.2Selbiges muss selbstredend auch für A____ gelten, wobei er gemäss Auskunft der Jugendanwaltschaft des Kantons [...] bei ihr auch nicht verzeichnet ist.</w:t>
      </w:r>
    </w:p>
    <w:p>
      <w:r>
        <w:rPr>
          <w:b/>
        </w:rPr>
        <w:t>E. 5</w:t>
      </w:r>
    </w:p>
    <w:p>
      <w:r>
        <w:t>Die Beschwerde ist nach dem Gesagten gutzuheissen und die Verfügung vom 15. Oktober 2019 aufzuheben. Die Jugendanwaltschaft wird angewiesen, die aus der erkennungsdienstlichen Erfassung gewonnen Daten des Beschwerdeführers zu vernichten und die entsprechenden Einträge im automatisierten Fingerabdruck-Identifikations-System (AFIS) zu löschen. Bei diesem Ausgang des Verfahrens werden keine Kosten erhoben (Art. 428 Abs. 1 StPO). Eine Parteientschädigung ist dem anwaltlich nicht vertretenen Beschwerdeführer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