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BES.2019.215 vom 22. September 2020</w:t>
      </w:r>
    </w:p>
    <w:p>
      <w:r>
        <w:t>BS Appellationsgericht, 2020-09-22, DE</w:t>
      </w:r>
    </w:p>
    <w:p>
      <w:r>
        <w:rPr>
          <w:b/>
        </w:rPr>
        <w:t xml:space="preserve">Quelle: </w:t>
      </w:r>
      <w:r>
        <w:t>https://mcp.opencaselaw.ch/entscheid/bs_appellationsgericht_BES.2019.215</w:t>
      </w:r>
    </w:p>
    <w:p>
      <w:r>
        <w:t>FR: BS_APPELLATIONSGERICHT BES.2019.215 du 22 septembre 2020</w:t>
      </w:r>
    </w:p>
    <w:p>
      <w:r>
        <w:t>IT: BS_APPELLATIONSGERICHT BES.2019.215 del 22 settembre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SB.2016.84 vom 8. April 2019). Damit ist zur Behandlung des vorliegenden Gesuchs das Einzelgericht des Appellationsgerichts zuständig.</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Dem Gericht kommt ein grosser Ermessens- und Beurteilungsspielraum zu (Domeisen, in: Basler Kommentar, 2. Auflage 2014, Art. 425 StPO N 4).</w:t>
      </w:r>
    </w:p>
    <w:p>
      <w:r>
        <w:t>2.2Der Gesuchsteller legte seinem Gesuch eine Abrechnung der Sozialhilfe vom 5. Juni 2020 bei. Aufgrund dessen ist davon auszugehen, dass der Gesuchsteller aktuell mittellos ist. Die langandauernde Fürsorgeabhängigkeit des Gesuchstellers mit Jahrgang 1967 lässt eine massgebliche Verbesserung seiner wirtschaftlichen Verhältnisse nicht als absehbar erscheinen. Damit ist die dauernde Mittellosigkeit des Gesuchstellers anzunehmen und ihm die Forderung in Anwendung der wiedergegebenen Grundsätze zu erlassen.</w:t>
      </w:r>
    </w:p>
    <w:p>
      <w:r>
        <w:t>2.3Der Erlass erfolgt jedoch gestützt auf Art. 425 StPO und entgegen dem Gesuchsteller nicht als Ausfluss des Anspruchs auf unentgeltliche Rechtspflege. Die unentgeltliche Rechtspflege entbindet in strafrechtlichen Angelegenheiten nur von der Entrichtung von Kostenvorschüssen, und auch dann nur, wenn keine Aussichtslosigkeit besteht. Diese Voraussetzungen waren vorliegend nicht gegeben. Der Gesuchsteller kann sich vorliegend somit nicht auf ein Recht aus unentgeltlicher Rechtspflege berufen.</w:t>
      </w:r>
    </w:p>
    <w:p>
      <w:r>
        <w:rPr>
          <w:b/>
        </w:rPr>
        <w:t>E. 3</w:t>
      </w:r>
    </w:p>
    <w:p>
      <w:r>
        <w:t>Aus den vorstehenden Erwägungen folgt, dass das Gesuch um Erlass der Gerichtskosten der Beschwerdeverfahren BES.2019.215 und BES.2019.241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