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BES.2019.211 vom 17. Dezember 2019</w:t>
      </w:r>
    </w:p>
    <w:p>
      <w:r>
        <w:t>BS Appellationsgericht, 2019-12-17, DE</w:t>
      </w:r>
    </w:p>
    <w:p>
      <w:r>
        <w:rPr>
          <w:b/>
        </w:rPr>
        <w:t xml:space="preserve">Quelle: </w:t>
      </w:r>
      <w:r>
        <w:t>https://mcp.opencaselaw.ch/entscheid/bs_appellationsgericht_BES.2019.211</w:t>
      </w:r>
    </w:p>
    <w:p>
      <w:r>
        <w:t>FR: BS_APPELLATIONSGERICHT BES.2019.211 du 17 décembre 2019</w:t>
      </w:r>
    </w:p>
    <w:p>
      <w:r>
        <w:t>IT: BS_APPELLATIONSGERICHT BES.2019.211 del 17 dicembre 2019</w:t>
      </w:r>
    </w:p>
    <w:p>
      <w:pPr>
        <w:pStyle w:val="Heading2"/>
      </w:pPr>
      <w:r>
        <w:t>Erwägungen</w:t>
      </w:r>
    </w:p>
    <w:p>
      <w:r>
        <w:rPr>
          <w:b/>
        </w:rPr>
        <w:t>E. 1</w:t>
      </w:r>
    </w:p>
    <w:p>
      <w:r>
        <w:t>1.1Gemäss Art. 393 Abs. 1 lit. a in Verbindung mit Art. 20 Abs. 1 lit. b der Strafprozessordnung (StPO, SR 312.0) kann gegen Verfügungen und Verfahrenshandlungen der Staatsanwaltschaft Beschwerde erhoben werden. Für die Beurteilung der Beschwerde ist das Appellationsgericht als Einzelgericht zuständig (§ 88 Abs. 1 in Verbindung mit § 93 Abs. 1 Ziff. 1 des baselstädtischen Gerichtsorganisationsgesetzes [GOG, SG 154.100]).</w:t>
      </w:r>
    </w:p>
    <w:p>
      <w:r>
        <w:rPr>
          <w:b/>
        </w:rPr>
        <w:t>E. 1.2</w:t>
      </w:r>
    </w:p>
    <w:p>
      <w:r>
        <w:t>1.2.1Die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S. 84, 125 I 394 E. 4a S. 397; je mit Hinweisen).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2;Guidon, Die Beschwerde gemäss Schweizerischer Strafprozessordnung, Diss. Zürich 2011, N 554).</w:t>
      </w:r>
    </w:p>
    <w:p>
      <w:r>
        <w:t>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a.a.O., N 244 ff.). Mit grundsätzlicher Bedeutung ist dabei nicht die Bedeutung für den Betroffenen gemeint. Sie bezieht sich vielmehr auf eine "klar umschriebene, ganz spezifische Frage grundlegender Art" (Keller, in: Donatsch et al. [Hrsg.], Kommentar zur schweizerischen Strafprozessordnung, 2. Auflage, Zürich 2014, Art. 393 N 36) (vgl. zum Ganzen AGE BES.2019.14/BES.2019.66 vom 3. Oktober 2019 E. 1.3.1, BES.2019.141 vom 29. August 2019 E. 1.3.3).</w:t>
      </w:r>
    </w:p>
    <w:p>
      <w:r>
        <w:t>1.2.2Anfechtungsobjekt der Beschwerde vom 26. September 2019 bildete die Verfügung der Staatsanwaltschaft vom 23. September 2019, mit welcher diese den Antrag des Beschwerdeführers auf Paginierung der Strafuntersuchungsakten mit Aushändigung eines entsprechenden Aktenverzeichnisses abgelehnt hat. Mit Anklage vom 25. Oktober 2019 wurde das Verfahren gegen den Beschwerdeführer beim Strafgericht anhängig gemacht. Dabei wurden die Akten paginiert und das Aktenverzeichnis mit Seitenzahlen versehen. Es darf davon ausgegangen werden, dass der Beschwerdeführer diese Unterlagen erhalten hat. Das aktuelle Rechtsschutzinteresse des Beschwerdeführers an der Behandlung der Beschwerde ist somit im Laufe des Beschwerdeverfahrens nach der Beschwerdeerhebung weggefallen. Gründe für ein ausnahmsweises materielles Behandeln der Beschwerde sind nicht ersichtlich. Folglich kann auf das Erfordernis des aktuellen Rechtsschutzinteresses nicht verzichtet werden. Da das Rechtsschutzinteresse nachträglich weggefallen ist und keine Gründe für eine ausnahmsweise Behandlung der Beschwerde vorliegen, wird das unter dem Aktenzeichen BES.2019.211 angelegte Verfahren zufolge Gegenstandslosigkeit der Beschwerde als erledigt abgeschrieben.</w:t>
      </w:r>
    </w:p>
    <w:p>
      <w:r>
        <w:rPr>
          <w:b/>
        </w:rPr>
        <w:t>E. 2</w:t>
      </w:r>
    </w:p>
    <w:p>
      <w:r>
        <w:t>Es bleibt abschliessend über die Kosten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wie hier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Dabei soll es bei einer knappen Beurteilung der Aktenlage sein Bewenden haben. Auf dem Weg über den Kostenentscheid soll nicht ein materielles Urteil gefällt und unter Umständen der Entscheid in einer heiklen Rechtsfrage präjudiziert werden (vgl. AGE HB.2019.31 vom 28. Mai 2019 E. 2.1, HB.2015.13 vom 1. April 2015 E. 2; BGer 6B.109/2010 vom 22. Februar 2011 E. 4.1; Botschaft zur Vereinheitlichung des Strafprozessrechts, in: BBl 2006 S. 1328;Domeisen, in: Basler Kommentar, 2. Auflage 2014, Art. 428 StPO N 14; jeweils mit weiteren Hinweisen).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(vgl. AGE BES.2019.14/2019.66 vom 3. Oktober 2019 E. 2.1 und 2.2.2.1, BES.2018.22 vom 5. Dezember 2018 E. 2.1).</w:t>
      </w:r>
    </w:p>
    <w:p>
      <w:r>
        <w:rPr>
          <w:b/>
        </w:rPr>
        <w:t>E. 2.2</w:t>
      </w:r>
    </w:p>
    <w:p>
      <w:r>
        <w:t>2.2.1Streitgegenstand war  wie erwähnt  vorliegend ausschliesslich die Frage, ob die Vorinstanz die Paginierung der Akten mit Erstellung eines entsprechenden Aktenverzeichnisses zu Recht verweigert hat. Ein Aktenverzeichnis ohne Seitenangaben wurde unbestrittenermassen jeweils auf Gesuch hin erstellt (vgl. Beschwerde vom 26. September 2019 S. 4; Akten, S. 94 und153). Insofern unterscheidet sich der Fall von jenen in den Verfahren AGE BES.2013.1 vom 12. September 2013, BES.2017.160 vom 8. Dezember 2017 und BES.2018.3 vom 15. Oktober 2018. Auch in den vom Bundesgericht in einem jüngst ergangenen Urteil aufgeführten Fällen, in welchen die Aktenführung als unzureichend qualifiziert wurde, fehlte nicht nur die Paginierung, sondern auch ein Verzeichnis (vgl. BGer 6B_1095/2019 vom 30. Oktober 2019 E. 3.3.2).</w:t>
      </w:r>
    </w:p>
    <w:p>
      <w:r>
        <w:t>2.2.2Die Aktenführungspflicht der Behörde ist das Gegenstück zu dem aus Art. 29 Abs. 2 Bundesverfassung (BV, SR 101) fliessenden Akteneinsichts- und Beweisführungsrecht der Partei. Das Bundesrecht schreibt in Art. 100 Abs. 2 StPO "die systematische Ablage der Akten und [...] deren fortlaufende Erfassung in einem Verzeichnis" vor. Das Dossier muss nach der bundesgerichtlichen Rechtsprechung systematisch geordnet sein; zu einer geordneten Anlage gehört ein Verzeichnis, welches einen raschen Überblick über den Inhalt des Dossiers ermöglicht und zur Kontrolle der vorhandenen Dokumente unerlässlich ist. Das Bundesgericht hat dabei aber auch betont, dass es in "die kantonalen und lokalen Gepflogenheiten" nur sehr zurückhaltend eingreift. Bereits in der früheren Rechtsprechung prüfte es ergebnisorientiert, ob der Verstoss gegen die Aktenführungspflicht eine Verweigerung des rechtlichen Gehörs in einem Ausmasse darstellt, das die Aufhebung des angefochtenen Urteils rechtfertigen würde. Soweit trotz "suboptimaler" Aktenführung das rechtliche Gehör, die Verteidigungsrechte und die Verfahrensfairness gewährleistet erscheinen, greift das Bundesgericht somit regelmässig nicht ein. Es geht davon aus, das Gesetz schreibe nicht vor, nach welchem Ordnungsmuster die Akten geführt werden müssten, solange es zweckmässig erscheine und der verfahrensrechtlichen Funktion der Akten gerecht werde (vgl. BGer 6B_1095/2019 vom 30. Oktober 2019 E. 3.3.1 f.). Damit verfügen die Untersuchungsbehörden über ein gewisses Ermessen, wie sie die Aktenordnung führen.</w:t>
      </w:r>
    </w:p>
    <w:p>
      <w:r>
        <w:t>Art. 100 Abs. 2 StPO verlangt die Paginierung dem Wortlaut nach jedenfalls nicht. In diesem Zusammenhang ist aber auch zu erwähnen, dass die Weisungen der Oberstaatsanwaltschaft Zürich (WOSTA, Stand 18. September 2019) für das Vorverfahren von Beginn weg eine Nummerierung der Akten mit Bleistift verlangen (Ziff. 8.2.6.2. abrufbar unter:</w:t>
      </w:r>
    </w:p>
    <w:p>
      <w:r>
        <w:t>https://staatsanwaltschaften.zh.ch/internet/justiz_inneres/staatsanwaltschaften/de/Strafverfahren1/ErlasseSVE/_jcr_content/contentPar/downloadlist_1389704831902/downloaditems/weisungen_osta.spooler.download.1569244869431.pdf/WOSTA_Stand_18.09.2019.pdf,</w:t>
      </w:r>
    </w:p>
    <w:p>
      <w:r>
        <w:t>besucht am 17. Dezember 2019). Die Weisung der Generalstaatsanwaltschaft des Kantons Bern zur Aktenführung und Aktenordnung (Stand 1. Januar 2011) sieht eine äusserst detaillierte systematische Aktenordnung vor (Ziff. 3) und ordnet die fortlaufende Paginierung der Akten spätestens im Zeitpunkt der Ansetzung der Frist zur Stellung von Beweisanträgen gemäss Art. 318 StPO an, wobei anstelle einer fortlaufenden Paginierung auch eine andere systematische Paginierung möglich ist (S. 4 Ziff. 4; abrufbar unter:</w:t>
      </w:r>
    </w:p>
    <w:p>
      <w:r>
        <w:t>https://www.justice.be.ch/justice/de/index/justiz/organisation/staatsanwaltschaft/downloads_publikationen/weisungen_und_richtlinien.assetref/dam/documents/Justice/STAW/de/Weisung_Aktenf%C3%BChrung%20und%20Aktenordnung.pdf, besucht am 17. Dezember 2019) (vgl. hierzu auch AGE BES.2018.3 vom 15. Oktober 2018 E. 3.2, mit weiteren Hinweisen).</w:t>
      </w:r>
    </w:p>
    <w:p>
      <w:r>
        <w:t>2.2.3Dem Beschwerdeführer ist grundsätzlich beizupflichten, dass nebst einem chronologischen Verzeichnis nach Registern und Bänden eine Paginierung die Orientierung und Zitierung erleichtert. Es ist denn auch nicht ohne weiteres nachvollziehbar, warum in den Kantonen Zürich und Bern (hier jedenfalls bei der Ankündigung des Abschlusses der Voruntersuchung) dies möglich ist, nicht aber im Kanton Basel-Stadt. Spätestens mit der Ankündigung des Verfahrensabschlusses sollte die definitive Paginierung der Akten nicht mehr aufwändig sein. Eine Paginierung ist schliesslich auch ein effizientes Mittel gegen allfällige Aktenmanipulationen für die Staatsanwaltschaft selber.</w:t>
      </w:r>
    </w:p>
    <w:p>
      <w:r>
        <w:t>Das Bundesgericht setzt für die Bejahung der Verletzung des rechtlichen Gehörs bzw. der Verletzung der Aktenführungspflicht im Einzelfall aber voraus, dass die betroffene Person darlegt, inwiefern sie ihre Verteidigungsrechte aufgrund der Aktenführung nicht wirksam habe wahrnehmen können (vgl. BGer 6B_1095/2019 vom 30. Oktober 2019 E. 3.3.2). Der Beschwerdeführer macht in dieser Hinsicht zunächst geltend, er müsse wegen der fehlenden Paginierung bei jeder neuen Akteneinsicht mit grossem zeitlichem Aufwand jeweils zuerst herausfinden, was überhaupt neu Eingang in die Akten gefunden habe. Dem ist entgegenzuhalten, dass mit dem mitgelieferten Verzeichnis, welches die Daten der diversen Aktenstücke in chronologischer Reihenfolge aufführt, ein Abgleich mit den früheren Akten vorliegend nicht masslos schwierig erscheint. Die Durchsicht kann auf jene Aktenstücke beschränkt werden, welche ein späteres Datum tragen. Weiter lässt der Beschwerdeführer geltend machen, nach Erhalt der Strafuntersuchungsakten müsse er entweder sämtliche Aktenseiten nochmals ausdrucken oder diese selber nachpaginieren. Diese Vorgehensweise entspricht jedoch kaum der Realität. Die Akteneinsicht wurde gemäss dem Verzeichnis in elektronischer Form gewährt. Es ist nicht davon auszugehen, dass der amtliche Verteidiger sämtliche Akten jedes Mal auf Papier ausgedruckt hat. Zudem ist er ohnehin gehalten, die ihm wesentlich erscheinenden Akten für die Vorbereitung der Verteidigung vor Gericht nochmals durchzugehen. Bei dieser Gelegenheit dürfte es nicht einen unverhältnismässig grossen Aufwand bedeuten, die Paginierung von Hand aufzutragen, oder aber jene Akten, die er benutzen will, dannzumal auszudrucken. Schliesslich ist festzuhalten, dass der Anwalt nicht verpflichtet ist, Aktenstellen mit Seitennummern zu zitieren. Es kann auch auf das Datum und den Inhalt eines Aktenstückes Bezug genommen werden.</w:t>
      </w:r>
    </w:p>
    <w:p>
      <w:r>
        <w:t>Zusammenfassend ist damit festzuhalten, dass die angeführten Schwierigkeiten bzw. Unannehmlichkeiten nicht so weit gehen, dass sie eine wirksame Wahrnehmung der Verteidigungsrechte verunmöglichen. Es kann nicht behauptet werden, ein amtlicher Verteidiger könne sich in den Akten nicht orientieren, jedenfalls nicht sobald ein chronologisches, in Registern unterteiltes Aktenverzeichnis vorhanden ist.</w:t>
      </w:r>
    </w:p>
    <w:p>
      <w:r>
        <w:t>2.3Nach dem Gesagten wäre die Beschwerde bei summarischer Prüfung mutmasslich abgewiesen worden, weshalb der Beschwerdeführer grundsätzlich die Verfahrenskosten zu tragen hat.</w:t>
      </w:r>
    </w:p>
    <w:p>
      <w:r>
        <w:rPr>
          <w:b/>
        </w:rPr>
        <w:t>E. 3</w:t>
      </w:r>
    </w:p>
    <w:p>
      <w:r>
        <w:t>3.1Der Beschwerdeführer hat um unentgeltliche Rechtspflege und um unentgeltliche Rechtsvertretung bzw. amtliche Verteidigung mit [...], Advokat, als unentgeltlicher Rechtsvertreter bzw. amtlicher Verteidiger ersucht.</w:t>
      </w:r>
    </w:p>
    <w:p>
      <w:r>
        <w:t>3.1.1Was die Kosten des Verfahrens betrifft, so existiert die unentgeltliche Rechtspflege im Strafrecht einzig für die Privatklägerschaft (Art. 136 ff. StPO). Hingegen gewährleistet der verfassungsrechtliche Anspruch auf unentgeltliche Rechtspflege gemäss Art. 29 Abs. 3 der BV und Art. 6 Ziff. 3 lit. c der Europäischen Menschenrechtskonvention (EMRK, SR 0.101)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Diesen Überlegungen folgt auch die StPO.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 AGE BES.2018.205 vom 20. August 2019 E. 2.2).</w:t>
      </w:r>
    </w:p>
    <w:p>
      <w:r>
        <w:t>3.1.2Demgemäss trägt der unterliegende Beschwerdeführer gestützt auf Art. 428 Abs. 1 StPO in Verbindung mit § 21 Abs. 2 des Reglements über die Gerichtsgebühren (SG 154.810) die Kosten des Beschwerdeverfahrens mit der tiefst möglichen Gebühr in Höhe von CHF 200. (einschliesslich Auslagen).</w:t>
      </w:r>
    </w:p>
    <w:p>
      <w:r>
        <w:t>3.2Eine vom Staat bezahlte Verteidigung ist der beschuldigten Person im Beschwerdeverfahren beizugeben, sofern sie hablos ist und die Wahrung ihrer Interessen dies gebietet (Art. 132 Abs. 1 lit. b und Abs. 2 StPO). Auch darf das angestrebte Verfahren nicht als aussichtslos zu werten sein (statt vieler AGE BES.2019.99 vom 10. Juli 2019 E. 2.2.1). Diese Voraussetzungen können vorliegend bejaht werden. Die amtliche Verteidigung des Beschwerdeführers wird damit bewilligt und dem Verteidiger ein Honorar von pauschal CHF 600. entsprechend einem geschätzten Aufwand von 3 Stunden (einschliesslich Auslagen, zuzüglich 7,7 % MWST von CHF 46.20), insgesamt also CHF 646.20, zugesprochen. Der Beschwerdeführer ist gemäss Art. 135 Abs. 4 StPO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