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BES.2019.142 vom 30. Juli 2019</w:t>
      </w:r>
    </w:p>
    <w:p>
      <w:r>
        <w:t>BS Appellationsgericht, 2019-07-30, DE</w:t>
      </w:r>
    </w:p>
    <w:p>
      <w:r>
        <w:rPr>
          <w:b/>
        </w:rPr>
        <w:t xml:space="preserve">Quelle: </w:t>
      </w:r>
      <w:r>
        <w:t>https://mcp.opencaselaw.ch/entscheid/bs_appellationsgericht_BES.2019.142</w:t>
      </w:r>
    </w:p>
    <w:p>
      <w:r>
        <w:t>FR: BS_APPELLATIONSGERICHT BES.2019.142 du 30 juillet 2019</w:t>
      </w:r>
    </w:p>
    <w:p>
      <w:r>
        <w:t>IT: BS_APPELLATIONSGERICHT BES.2019.142 del 30 luglio 2019</w:t>
      </w:r>
    </w:p>
    <w:p>
      <w:pPr>
        <w:pStyle w:val="Heading2"/>
      </w:pPr>
      <w:r>
        <w:t>Erwägungen</w:t>
      </w:r>
    </w:p>
    <w:p>
      <w:r>
        <w:rPr>
          <w:b/>
        </w:rPr>
        <w:t>E. 1</w:t>
      </w:r>
    </w:p>
    <w:p>
      <w:r>
        <w:t>1.1Entscheide über die Anordnung von Sicherheitshaft bzw. über diesbezügliche Ersatzmassnahmen sind mit Beschwerde anzufechten (Art. 393 Abs. 1 lit. c in Verbindung mit Art. 222 und Art. 237 Abs. 4 der Strafprozessordnung [StPO, SR 312.0]). Zuständiges Beschwerdegericht ist das Appellationsgericht als Einzelgericht (§ 88 Abs. 1 in Verbindung mit § 93 Abs. 1 Ziff. 1 des Gerichtsorganisationsgesetzes [GOG, SG 154.100]), welches gemäss Art. 393 Abs. 2 StPO mit voller Kognition urteilt. Das Rechtsmittel ist nach Art. 396 Abs. 1 StPO innert zehn Tagen nach Eröffnung des Entscheids schriftlich und begründet bei der Beschwerdeinstanz einzureichen.</w:t>
      </w:r>
    </w:p>
    <w:p>
      <w:r>
        <w:t>1.2Die vorliegende Beschwerde ist form- und fristgerecht eingereicht worden, sodass darauf einzutreten ist.</w:t>
      </w:r>
    </w:p>
    <w:p>
      <w:r>
        <w:rPr>
          <w:b/>
        </w:rPr>
        <w:t>E. 2</w:t>
      </w:r>
    </w:p>
    <w:p>
      <w:r>
        <w:t>Die Anordnung von Sicherheitshaft bzw. von diesbezüglichen Ersatzmassnahmen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Praxisgemäss ist nach einer erstinstanzlichen Verurteilung von einem dringenden Tatverdacht auszugehen (BGer 1B_176/2018 vom 2. Mai 2018 E. 3.2, 1B_392/2013 vom 22. November 2013 E. 5; AGE HB.2017.33 vom 9. Oktober 2017 E. 3.1), was vom Beschwerdeführer denn auch zu Recht nicht bestritten wird.</w:t>
      </w:r>
    </w:p>
    <w:p>
      <w:r>
        <w:rPr>
          <w:b/>
        </w:rPr>
        <w:t>E. 4</w:t>
      </w:r>
    </w:p>
    <w:p>
      <w:r>
        <w:t>4.1Fluchtgefahr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t>4.2Der Beschwerdeführer macht geltend, die Vorinstanz bringe neben der Höhe der erstinstanzlichen Strafe nichts vor, was für die Annahme respektive Wahrscheinlichkeit einer Flucht spräche. Vielmehr habe sich der Beschwerdeführer im bisherigen Strafverfahren korrekt verhalten und allen Vorladungen anstandslos Folge geleistet. Der ein eigenes Unternehmen betreibende und teilzeitlich [...] angestellte Beschwerdeführer sei seit Jahren in Basel verwurzelt und besitze die Schweizer Staatsbürgerschaft. Seine Ehefrau arbeite ebenfalls in der Schweiz und seine [...] Kinder gingen hier zur Schule. Der Umstand, dass er Familienmitglieder in seinem Herkunftsland [...] habe, vermöge keine Fluchtgefahr zu begründen, zumal sein soziales Beziehungsnetz und damit sein Lebensmittelpunkt in der Schweiz lägen. Darüber hinaus habe das Zwangsmassnahmengericht in der Verfügung vom 26. Oktober 2017 Fluchtgefahr noch verneint. Eine Flucht  verbunden mit einem endgültigen Bruch mit der Familie und insbesondere den hier aufwachsenden Kindern  sei schlichtweg nicht zu erwarten. Im Übrigen sei auch zu beachten, dass das Bundesgericht in einem Fall (BGer 1B_632/2011 vom 2. Dezember 2011), in welchem aufgrund der Anklage wegen mehrfachen Mordes und qualifizierten Raubes eine weitaus höhere Strafe als im vorliegenden Fall zu erwarten war, Fluchtgefahr verneint habe.</w:t>
      </w:r>
    </w:p>
    <w:p>
      <w:r>
        <w:rPr>
          <w:b/>
        </w:rPr>
        <w:t>E. 4.3</w:t>
      </w:r>
    </w:p>
    <w:p>
      <w:r>
        <w:t>4.3.1Der Beschwerdeführer ist Schweizer und [...] Staatsangehöriger mit Wohnsitz in Basel, wo er zusammen mit seiner Ehefrau und [...] lebt. Er ist erstinstanzlich mit einer längeren Freiheitsstrafe von vier Jahren und acht Monaten belegt worden, wobei er davon im Rahmen der Untersuchungshaft lediglich 46 Tage, mithin einen Bruchteil der gesamten Strafe, verbüsst hat. Wie der Beschwerdeführer anlässlich der erstinstanzlichen Hauptverhandlung ausgesagt hat, leben alle seine Verwandten (Eltern, Bruder und Schwester) in [...]. Seine Kontakte in das Heimatland sind daher eng und intakt. Er spricht Deutsch, [...] und [...], sodass er keine Mühe hätte, sich in [...] sprachlich und auch beruflich zurechtzufinden. Finanzielle Mittel, welche eine Flucht erlaubten, sind zweifellos vorhanden, verbringt doch der Beschwerdeführer laut eigenen Angaben alle zwei bis drei Jahre seine Ferien in [...] (gemäss Stempeln im Schweizer Reisepass [S. 38 und 39] hielt er sich das letzte Mal zwischen dem 27. September 2018 und dem 12. Oktober 2018 in [...] auf). Dazu kommt, dass die Geschäftsführung seiner [...] auch von [...] aus möglich wäre und seine Ehefrau ebenfalls aus [...] stammt. Aus der Tatsache, dass Fluchtgefahr durch das Zwangsmassnahmengericht noch verneint wurde, kann der Beschwerdeführer nichts zu seinen Gunsten ableiten, zumal sich die Situation mit seiner erstinstanzlichen Verurteilung komplett verändert hat und die Zwangsmassnahmenrichterin in ihrer Verfügung vom 13. Oktober 2017 die zu erwartenden Strafe deutlich zu tief veranschlagte (sie ging von einer bedingten, allenfalls teilbedingten Strafe aus).</w:t>
      </w:r>
    </w:p>
    <w:p>
      <w:r>
        <w:t>4.3.2Aus dem Gesagten erhellt, dass neben der vom Strafgericht erstinstanzlich ausgesprochenen Freiheitsstrafe, die angesichts ihrer Schwere einen wesentlichen Fluchtanreiz bildet, im vorliegenden Fall  im Gegensatz zum von der Verteidigung zitierten Bundesgerichtsurteil  einige weitere Indizien bestehen, welche eine gewisse Wahrscheinlichkeit belegen, dass sich der Beschwerdeführer durch Flucht nach [...] der drohenden Freiheitsstrafe entziehen könnte. Im Gegensatz zum zur Diskussion stehenden Urteil des Bundesgerichts liegt in casu bereits ein erstinstanzliches Urteil mit einer konkreten Strafe vor, besitzt der Beschwerdeführer neben der Schweizer Staatsangehörigkeit auch eine zweite Staatsbürgerschaft, verfügt über beste familiäre Beziehungen im Ausland und ist  soweit ersichtlich  gesund und ist daher auf die gute gesundheitliche Versorgung in der Schweiz nicht angewiesen.</w:t>
      </w:r>
    </w:p>
    <w:p>
      <w:r>
        <w:t>4.3.3Insgesamt liegt keine akute, indes doch eine gewisse Fluchtneigung des Beschwerdeführers vor, weshalb im Sinne des Grundsatzes der Verhältnismässigkeit zu Recht keine Sicherheitshaft, sondern bloss eine weniger wirksame Ausweis- und Schriftensperre angeordnet wurde (vgl. dazu BGE 133 I 27 E. 3.3 S. 31; BGer 1B_632/2011 vom 2. Dezember 2011 E. 5.1). Diese Massnahme vermag die Fluchtneigung angemessen zu reduzieren, zumal [...] zeit- und kostengünstig nur per Flugzeug bereist werden kann und dafür ein Ausweispapier erforderlich ist. Eine Ausweis- und Schriftensperre (es wurden der Schweizer Reisepass, die Schweizer Identitätskarte und der [...] Reisepass des Beschwerdeführers sichergestellt) vermag daher den Fluchtanreiz massiv zu reduzieren. Zudem ist die Massnahme auch verhältnismässig im engeren Sinne, ist doch nicht einzusehen, weshalb der Beschwerdeführer nicht auch ohne Ausweispapiere seine berufliche Tätigkeit in der Schweiz fortsetzen könnte.</w:t>
      </w:r>
    </w:p>
    <w:p>
      <w:r>
        <w:rPr>
          <w:b/>
        </w:rPr>
        <w:t>E. 5</w:t>
      </w:r>
    </w:p>
    <w:p>
      <w:r>
        <w:t>Mai 2017 E. 5.2, 1B_324/2014 vom 16. Oktober 2014 E. 3.5). Weshalb ein derartiger Sonderfall hier vorliegen sollte, ist nicht ersichtlich und wird auch nicht fundiert geltend gemacht. Indes würde es dem Beschwerdeführer obliegen, eine zweckmässige Darstellung der Herkunft des angebotenen Geldes anzubieten (BGer 1B_388/2015 vom 3. Dezember 2015 E. 2.4.3 und E. 2.5). Vorliegend sind jedoch weder die (potentiell) leistenden Personen namentlich bekannt, noch liegen objektivierte Angaben zu ihren wirtschaftlichen Verhältnissen vor. Der Beschwerdeführer hat weder schriftliche Bestätigungen hinsichtlich ihrer Leistungsbereitschaft ins Recht gelegt, noch hinsichtlich der Tatsache, dass das Geld auf einer Bank oder anderweitig überhaupt vorhanden ist. Bei dieser Ausgangslage lässt sich somit auch nicht beurteilen, ob sich der Beschwerdeführer lieber dem Strafverfahren stellt, als den Dritten den Verlust der Kaution zuzumuten. Im Übrigen wurde dem Grundsatz der Verhältnismässigkeit bereits angemessen Rechnung getragen und ist namentlich nicht ersichtlich, inwiefern sich der Beschwerdeführer gegenüber seinen Kunden ausweisen müsste (vgl. dazu schon E. 4.3.3).</w:t>
      </w:r>
    </w:p>
    <w:p>
      <w:r>
        <w:rPr>
          <w:b/>
        </w:rPr>
        <w:t>E. 5.2</w:t>
      </w:r>
    </w:p>
    <w:p>
      <w:r>
        <w:t>5.2.1Gemäss Art. 237 Abs. 1 StPO ordnet das zuständige Gericht an Stelle der Untersuchungs- oder der Sicherheitshaft eine oder mehrere mildere Massnahmen  insbesondere die Leistung eines Geldbetrags  an, wenn sie den gleichen Zweck wie die Haft erfüllen. Die Höhe der Sicherheitsleistung bemisst sich nach der Schwere der Taten, die der beschuldigten Person vorgeworfen werden, und nach ihren persönlichen Verhältnissen (Art. 238 Abs. 2 StPO).</w:t>
      </w:r>
    </w:p>
    <w:p>
      <w:r>
        <w:t>5.2.2Im vorliegenden Fall wurde der Beschwerdeführer wegen eines versuchten Tötungsdelikts erstinstanzlich zu einer Freiheitsstrafe von vier Jahren und acht Monaten verurteilt. Vor dem Hintergrund der gewichtigen Schwere der Tat und der Überlegung, dass für einen Tag Haft in der Regel CHF 200. entschädigt werden (BGer 6B_1052/2014 vom 22. Dezember 2015 E. 2.1; AGE SB.2017.116 vom 28. März 2019 E. 9.4;Schmid/Jositsch, Praxiskommentar StPO, 3. Auflage, Zürich 2018, Art. 431 N 8), erweist sich die angebotene Sicherheitsleistung in Höhe von CHF 20000. als deutlich zu tief. Dass der Beschwerdeführer eine höhere Kaution mit legalen Mitteln aufbringen könnte, kann aufgrund der Aussagen zu seinen persönlichen Verhältnissen (Akten S.7; Verhandlungsprotokoll S. 3) ausgeschlossen werden.</w:t>
      </w:r>
    </w:p>
    <w:p>
      <w:r>
        <w:t>5.2.3Da der Beschwerdeführer eine höhere Kaution  wie soeben referiert  nicht aus eigenem Einkommen oder eigenem Vermögen leisten kann, käme bloss eine Drittkaution in Frage. Eine solche wird gemäss bundesgerichtlicher Rechtsprechung indessen nur in Ausnahmefällen zugelassen (BGer 1B_149/2017 vom</w:t>
      </w:r>
    </w:p>
    <w:p>
      <w:r>
        <w:rPr>
          <w:b/>
        </w:rPr>
        <w:t>E. 6</w:t>
      </w:r>
    </w:p>
    <w:p>
      <w:r>
        <w:t>Aus dem Gesagten ergibt sich, dass die Beschwerde abzuweisen ist. Bei diesem Ausgang des Verfahrens hat der Beschwerdeführer dessen ordentliche Kosten mit einer Gebühr von CHF 500.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