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BES.2019.125 vom 29. Juli 2019</w:t>
      </w:r>
    </w:p>
    <w:p>
      <w:r>
        <w:t>BS Appellationsgericht, 2019-07-29, DE</w:t>
      </w:r>
    </w:p>
    <w:p>
      <w:r>
        <w:rPr>
          <w:b/>
        </w:rPr>
        <w:t xml:space="preserve">Quelle: </w:t>
      </w:r>
      <w:r>
        <w:t>https://mcp.opencaselaw.ch/entscheid/bs_appellationsgericht_BES.2019.125</w:t>
      </w:r>
    </w:p>
    <w:p>
      <w:r>
        <w:t>FR: BS_APPELLATIONSGERICHT BES.2019.125 du 29 juillet 2019</w:t>
      </w:r>
    </w:p>
    <w:p>
      <w:r>
        <w:t>IT: BS_APPELLATIONSGERICHT BES.2019.125 del 29 luglio 2019</w:t>
      </w:r>
    </w:p>
    <w:p>
      <w:pPr>
        <w:pStyle w:val="Heading2"/>
      </w:pPr>
      <w:r>
        <w:t>Erwägungen</w:t>
      </w:r>
    </w:p>
    <w:p>
      <w:r>
        <w:rPr>
          <w:b/>
        </w:rPr>
        <w:t>E. 1</w:t>
      </w:r>
    </w:p>
    <w:p>
      <w:r>
        <w:t>Verfügungen und Verfahrenshandlungen der Staatsanwaltschaft können mit Beschwerde bei der Beschwerdeinstanz angefochten werden (Art. 393 Abs. 1 lit. a der Schweizerischen Strafprozessordnung [StPO, SR 312.0]). Die Beschwerde­führerin hat ein rechtlich geschütztes Interesse an der Aufhebung oder Änderung der angefochtenen Verfügung, weshalb sie zur Beschwerdeerhebung legitimiert ist (Art. 382 Abs. 1 StPO). Auf die nach Art. 396 Abs. 1 StPO frist- und formgerecht eingereichte Beschwerde ist daher einzutreten. Die Kognition des Beschwerdegerichts ist frei und somit nicht auf Willkür beschränkt (Art. 393 Abs. 2 StPO). Zuständiges Beschwerdegericht ist das Appellationsgericht als Einzelgericht. In Fällen von besonderer Tragweite kann die Verfahrensleitung anordnen, dass das Dreiergericht entscheidet (§§ 88 Abs. 1 und 93 Abs. 1 Ziff. 1 des Gerichtsorganisationsgesetzes [GOG, SG 154.100]). Ein solcher Fall liegt hier vor.</w:t>
      </w:r>
    </w:p>
    <w:p>
      <w:r>
        <w:rPr>
          <w:b/>
        </w:rPr>
        <w:t>E. 2</w:t>
      </w:r>
    </w:p>
    <w:p>
      <w:r>
        <w:t>2.1Die Staatsanwaltschaft begründet ihr Nichteintreten auf die Einsprache mit der unentschuldigten Absenz der Beschwerde­führerin an der Einvernahme vom 24. April 2019. Durch die der Vorladung beigelegte halbseitige Rechtsbelehrung sei die der deutschen Sprache mächtige Beschwerde­führerin hinreichend über den Rechtsverlust bei unentschuldigtem Fernbleiben aufgeklärt worden. Sie habe ihre Einsprache mit einer der Sachverhaltsschilderung im Strafbefehl nicht übereinstimmenden Version der Tatvorgänge begründet. In der versäumten Einvernahme hätte sie Gelegenheit erhalten, ihre Sicht der Dinge darzulegen, Anschlussfragen der Staatsanwaltschaft zu beantworten und die von der Staatsanwaltschaft am 22. August 2018 eingeholte Videoaufzeichnung des Vorfalls vom 21. Februar 2017 zu visionieren und zu kommentieren. Da sie dieser Einvernahme ferngeblieben sei, müsse auf ein Desinteresse am weiteren Gang des Strafverfahrens geschlossen werden. Dies umso mehr, als die Beschwerde­führerin am Nachmittag des 24. April 2019 nicht auf die Sprachnachricht der Untersuchungsbeamtin auf ihrer Combox und die SMS-Nachricht mit der Aufforderung zum sofortigen Rückruf reagiert habe.</w:t>
      </w:r>
    </w:p>
    <w:p>
      <w:r>
        <w:t>2.2Die Beschwerde­führerin macht geltend, sie befinde sich derzeit in einer sehr prekären Situation und sei von sich selber enttäuscht, dass sie den Einvernahme­termin verpasst habe. Sie nennt als Bezugsperson ihren Psychotherapeuten Dr. F____. Ihre Säumnis dürfe keineswegs als Desinteresse an der Angelegenheit verstanden werden. Insbesondere der Vorwurf vom 11. Oktober 2015 belaste sie sehr, da sie einer Tat beschuldigt werde, die sie nicht begangen habe, und nicht am Tatort gewesen sei. Diese Tatsache lasse sich einfach überprüfen, da sie in ihrer Einsprache die wahre Verantwortliche D____ genannt habe. Sie halte an ihrem Willen fest, die falsche Anschuldigung betreffend den Vorfall vom 11. Oktober 2015 zu klären.</w:t>
      </w:r>
    </w:p>
    <w:p>
      <w:r>
        <w:rPr>
          <w:b/>
        </w:rPr>
        <w:t>E. 3</w:t>
      </w:r>
    </w:p>
    <w:p>
      <w:r>
        <w:t>Auflage 2009, Art. 6 N 3).</w:t>
      </w:r>
    </w:p>
    <w:p>
      <w:r>
        <w:t>3.2Der Staatsanwaltschaft ist grundsätzlich zuzustimmen, dass den Einsprecher eine Mitwirkungspflicht trifft und dies vom Gesetzgeber so beabsichtigt ist. Vorliegend ist von einem unentschuldigten Fernbleiben auszugehen. Die Beschwerdeführerin macht zwar geltend, sie habe sich in einer misslichen Situation befunden, nennt dazu aber ausser der Person ihres Psychotherapeuten keine weiteren Gründe. Dies allein reicht nicht aus, um der gesetzlichen Rückzugsfiktion die Anwendung zu versagen. Es ist unbestritten und mit der Empfangsbescheinigung in den Akten nachgewiesen, dass die Beschwerde­führerin vom Einvernahmetermin tatsächlich Kenntnis hatte. Die Vorladung vom 3. April 2019 für eine Befragung der Beschwerde­führerin auf Montag, 24. April 2019, ist der Beschwerde­führerin bereits am 4. April 2019 zugestellt worden.</w:t>
      </w:r>
    </w:p>
    <w:p>
      <w:r>
        <w:t>Weniger klar verhält es sich mit der Belehrung über die Säumnisfolgen. Zwar wird der Wortlaut von Art. 355 Abs. 2 StPO im kleingedruckten Anhang zur Vorladung wiedergegeben. Es ist aber diskutabel, ob damit der Ernsthaftigkeit des Dahinfallens der Einsprache genügend Rechnung getragen wird oder ob der Hinweis nicht besser in den eigentlichen Vorladungstext aufgenommen worden wäre (wie vorliegend das Übersetzungs- und Verteidigungsrecht in Ziff. 2 und 3 der Vorladung). Das Bundesgericht hat eine formularmässige Belehrung gegenüber einem Laien als zu wenig klar erachtet (BGer 6B_152/2013 vom 27. Mai 2013 E. 4.5.2). Die vorliegende Belehrung wurde ebenfalls gegenüber einer nicht verteidigten Beschuldigten abgegeben, ist aber deutlich kürzer als jene, die vom Bundesgericht beanstandet wurde. Da die Beschwerde­führerin vorliegend aus anderen Gründen Recht erhält, kann die Frage der genügend klaren Belehrung offen bleiben. Angesichts der grossen Bedeutung des Rechts auf gerichtliche Beurteilung der Anklage wäre ein klarerer Hinweis auf den drohenden Rechtsverlust rückblickend aber wünschenswert.</w:t>
      </w:r>
    </w:p>
    <w:p>
      <w:r>
        <w:t>3.3Durch ihr unentschuldigtes Fernbleiben vom Einvernahmetermin hat die Beschwerde­führerin nicht nur die Untersuchungsbeamtin, sondern auch den Vertreter von C____, G____, warten lassen. Die Untersuchungsbeamtin rief unverzüglich auf die Geschäftsnummer der Beschwerde­führerin an, die diese gegenüber der Staatsanwaltschaft angegeben hatte (Personalien­bogen). Dort konnte die Untersuchungsbeamtin mit dem Vorgesetzten der Beschwerde­führerin sprechen, der deren private Handynummer bekanntgab. Gemäss der Aktennotiz vom 24. April 2019 nahm die Beschwerde­führerin auf ihrer Privatnummer aber weder den Anruf der Untersuchungsbeamtin entgegen, noch reagierte sie auf die Combox-Meldung und die SMS-Textnachricht, mit welcher um sofortigen Rückruf gebeten wurde (Akten S. 189-190).</w:t>
      </w:r>
    </w:p>
    <w:p>
      <w:r>
        <w:t>3.4Immerhin reagierte die Beschwerde­führerin am darauf folgenden Tag, dem 25. April 2019, 10.30 Uhr, mit einem Rückruf an die Untersuchungsbeamtin. Dabei benutzte sie genau die Handynummer, auf welche die Untersuchungsbeamtin am Vortag angerufen hatte (Akten S. 193). Durch diesen Rückruf hat die Beschwerde­führerin zwar spät reagiert, aber doch erkennen lassen, dass ihr die gerichtliche Beurteilung der Anklage wichtig ist. Wesentlich für die Beurteilung ihres Gesamtverhaltens ist auch der Umstand, dass die Beschwerdeführerin bezüglich des Vorfalls vom 11. Oktober 2015 von Anfang an klar ausgesagt hat, es handle sich um eine Verwechslung (Einvernahme vom 18. Oktober 2017, Akten S. 104). Angesichts der in den Akten dokumentierten Identifikationssituation (undeutliches Foto, Akten S. 62) und der Ähnlichkeit der Frau, mit der die Beschwerde­führerin nach eigener Darstellung verwechselt worden sei (vgl. Fotos dieser Frau, Akten S. 184-186, und Foto der Beschwerde­führerin, Akten S. 142), aber auch aufgrund ihres sachbezogenen Aussageverhaltens darf man die gerichtliche Prüfung ihres Alibis nicht an allzu strengen Hürden scheitern lassen. Bei der Würdigung des Gesamtverhaltens der Beschwerde­führerin steht nicht mit genügender Sicherheit fest, dass sie am Einspracheverfahren nicht mehr interessiert gewesen wäre. Daher ist die Rückzugsfiktion von Art. 355 Abs. 2 StPO bei der gebotenen restriktiven Auslegung (hiervor E. 3.1) nicht anwendbar.</w:t>
      </w:r>
    </w:p>
    <w:p>
      <w:r>
        <w:t>Dasselbe gilt für den Vorfall vom 21. Februar 2017, für den die Beschwerdeführerin von Anfang an geltend gemacht hat, sie habe ihre Mutter vor einem Angriff durch die frühere Probemitarbeiterin schützen müssen und sei von dieser verbal provoziert worden (Einvernahme vom 18. Oktober 2017, Akten S. 104). Auch insoweit kann nicht gesagt werden, die Beschwerdeführerin habe bewusst darauf verzichten wollen, ihre Einwände gegen den Strafbefehl gerichtlich beurteilen zu lassen.</w:t>
      </w:r>
    </w:p>
    <w:p>
      <w:r>
        <w:rPr>
          <w:b/>
        </w:rPr>
        <w:t>E. 4</w:t>
      </w:r>
    </w:p>
    <w:p>
      <w:r>
        <w:t>In Gutheissung der Beschwerde ist die Nichteintretensverfügung der Staatsanwaltschaft vom 25. April 2019 aufzuheben und die Sache zur Durchführung des Einspracheverfahrens an die Staatsanwaltschaft zurückzuweisen.</w:t>
      </w:r>
    </w:p>
    <w:p>
      <w:r>
        <w:t>Bei diesem Ausgang des Verfahrens werden keine ordentlichen Kosten erhoben. Die Beschwerdeführerin hat gegen Ende des Verfahrens einen Verteidiger beigezogen, der für seine Bemühungen im Zusammenhang mit der Eingabe vom 5. Juli 2019 aus der Gerichtskasse zu entschädigen ist (Art. 436 Abs. 2 StPO). Sein Aufwand wird auf zwei Stunden geschätzt, die zum Überwälzungstarif von CHF 250. berechnet werden, einschliesslich 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